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A66A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60F8D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5B47F94">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031F3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1016D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15FEBC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A7FD89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A1EAECD">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2AB920A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F1145F8">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lang w:val="en-US" w:eastAsia="zh-CN"/>
        </w:rPr>
        <w:t>3</w:t>
      </w:r>
      <w:r>
        <w:fldChar w:fldCharType="end"/>
      </w:r>
      <w:bookmarkEnd w:id="7"/>
    </w:p>
    <w:p w14:paraId="7878C9E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2A6720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29B47ED">
      <w:pPr>
        <w:pStyle w:val="50"/>
        <w:framePr w:w="9639" w:h="6976" w:hRule="exact" w:hSpace="0" w:vSpace="0" w:wrap="around" w:hAnchor="page" w:y="6408"/>
        <w:jc w:val="center"/>
        <w:rPr>
          <w:rFonts w:ascii="黑体" w:hAnsi="黑体" w:eastAsia="黑体"/>
          <w:b w:val="0"/>
          <w:bCs w:val="0"/>
          <w:w w:val="100"/>
        </w:rPr>
      </w:pPr>
    </w:p>
    <w:p w14:paraId="1B08DD4A">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清洁生产规范 废旧锂离子电池材料</w:t>
      </w:r>
    </w:p>
    <w:p w14:paraId="1D6A1B2E">
      <w:pPr>
        <w:pStyle w:val="197"/>
        <w:framePr w:h="6974" w:hRule="exact" w:wrap="around" w:x="1419" w:anchorLock="1"/>
      </w:pPr>
      <w:r>
        <w:rPr>
          <w:rFonts w:hint="eastAsia"/>
        </w:rPr>
        <w:t>再生企业要求</w:t>
      </w:r>
      <w:r>
        <w:fldChar w:fldCharType="end"/>
      </w:r>
      <w:bookmarkEnd w:id="9"/>
    </w:p>
    <w:p w14:paraId="7F7D421D">
      <w:pPr>
        <w:framePr w:w="9639" w:h="6974" w:hRule="exact" w:wrap="around" w:vAnchor="page" w:hAnchor="page" w:x="1419" w:y="6408" w:anchorLock="1"/>
        <w:ind w:left="-1418"/>
      </w:pPr>
    </w:p>
    <w:p w14:paraId="4A6BE3DD">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Specification for clean production—Requirements for </w:t>
      </w:r>
      <w:r>
        <w:rPr>
          <w:rFonts w:hint="eastAsia" w:eastAsia="黑体"/>
          <w:szCs w:val="28"/>
          <w:lang w:val="en-US" w:eastAsia="zh-CN"/>
        </w:rPr>
        <w:t>s</w:t>
      </w:r>
      <w:r>
        <w:rPr>
          <w:rFonts w:hint="eastAsia" w:eastAsia="黑体"/>
          <w:szCs w:val="28"/>
        </w:rPr>
        <w:t>pent lithium ion battery material recycled enterprises</w:t>
      </w:r>
      <w:r>
        <w:rPr>
          <w:rFonts w:eastAsia="黑体"/>
          <w:szCs w:val="28"/>
        </w:rPr>
        <w:fldChar w:fldCharType="end"/>
      </w:r>
      <w:bookmarkEnd w:id="10"/>
    </w:p>
    <w:p w14:paraId="17871560">
      <w:pPr>
        <w:framePr w:w="9639" w:h="6974" w:hRule="exact" w:wrap="around" w:vAnchor="page" w:hAnchor="page" w:x="1419" w:y="6408" w:anchorLock="1"/>
        <w:spacing w:line="760" w:lineRule="exact"/>
        <w:ind w:left="-1418"/>
      </w:pPr>
    </w:p>
    <w:p w14:paraId="79AB8AD7">
      <w:pPr>
        <w:pStyle w:val="125"/>
        <w:framePr w:w="9639" w:h="6974" w:hRule="exact" w:wrap="around" w:vAnchor="page" w:hAnchor="page" w:x="1419" w:y="6408" w:anchorLock="1"/>
        <w:textAlignment w:val="bottom"/>
        <w:rPr>
          <w:rFonts w:eastAsia="黑体"/>
          <w:szCs w:val="28"/>
        </w:rPr>
      </w:pPr>
    </w:p>
    <w:p w14:paraId="743D77E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104641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C8B0AD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18165C3">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B7F46A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B0CC8D2">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970104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EFC2703">
      <w:pPr>
        <w:pStyle w:val="91"/>
        <w:spacing w:after="468"/>
      </w:pPr>
      <w:bookmarkStart w:id="21" w:name="_Toc105609989"/>
      <w:bookmarkStart w:id="22" w:name="BookMark1"/>
      <w:r>
        <w:rPr>
          <w:spacing w:val="320"/>
        </w:rPr>
        <w:t>目</w:t>
      </w:r>
      <w:r>
        <w:t>次</w:t>
      </w:r>
    </w:p>
    <w:p w14:paraId="72DCEFEF">
      <w:pPr>
        <w:pStyle w:val="19"/>
        <w:tabs>
          <w:tab w:val="right" w:leader="dot" w:pos="9344"/>
        </w:tabs>
        <w:rPr>
          <w:rFonts w:hint="eastAsia" w:ascii="宋体" w:eastAsia="宋体" w:cs="Times New Roman"/>
          <w:lang w:val="en-US" w:eastAsia="zh-CN"/>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r>
        <w:rPr>
          <w:rFonts w:hint="eastAsia" w:ascii="宋体" w:eastAsia="宋体" w:cs="Times New Roman"/>
          <w:lang w:val="en-US" w:eastAsia="zh-CN"/>
        </w:rPr>
        <w:fldChar w:fldCharType="begin"/>
      </w:r>
      <w:r>
        <w:rPr>
          <w:rFonts w:hint="eastAsia" w:ascii="宋体" w:eastAsia="宋体" w:cs="Times New Roman"/>
          <w:lang w:val="en-US" w:eastAsia="zh-CN"/>
        </w:rPr>
        <w:instrText xml:space="preserve"> HYPERLINK \l _Toc4932 </w:instrText>
      </w:r>
      <w:r>
        <w:rPr>
          <w:rFonts w:hint="eastAsia" w:ascii="宋体" w:eastAsia="宋体" w:cs="Times New Roman"/>
          <w:lang w:val="en-US" w:eastAsia="zh-CN"/>
        </w:rPr>
        <w:fldChar w:fldCharType="separate"/>
      </w:r>
      <w:r>
        <w:rPr>
          <w:rFonts w:hint="eastAsia" w:ascii="宋体" w:eastAsia="宋体" w:cs="Times New Roman"/>
          <w:lang w:val="en-US" w:eastAsia="zh-CN"/>
        </w:rPr>
        <w:t>前言</w:t>
      </w:r>
      <w:r>
        <w:rPr>
          <w:rFonts w:hint="eastAsia" w:ascii="宋体" w:eastAsia="宋体" w:cs="Times New Roman"/>
          <w:lang w:val="en-US" w:eastAsia="zh-CN"/>
        </w:rPr>
        <w:tab/>
      </w:r>
      <w:r>
        <w:rPr>
          <w:rFonts w:hint="eastAsia" w:ascii="宋体" w:eastAsia="宋体" w:cs="Times New Roman"/>
          <w:lang w:val="en-US" w:eastAsia="zh-CN"/>
        </w:rPr>
        <w:fldChar w:fldCharType="begin"/>
      </w:r>
      <w:r>
        <w:rPr>
          <w:rFonts w:hint="eastAsia" w:ascii="宋体" w:eastAsia="宋体" w:cs="Times New Roman"/>
          <w:lang w:val="en-US" w:eastAsia="zh-CN"/>
        </w:rPr>
        <w:instrText xml:space="preserve"> PAGEREF _Toc4932 \h </w:instrText>
      </w:r>
      <w:r>
        <w:rPr>
          <w:rFonts w:hint="eastAsia" w:ascii="宋体" w:eastAsia="宋体" w:cs="Times New Roman"/>
          <w:lang w:val="en-US" w:eastAsia="zh-CN"/>
        </w:rPr>
        <w:fldChar w:fldCharType="separate"/>
      </w:r>
      <w:r>
        <w:rPr>
          <w:rFonts w:hint="eastAsia" w:ascii="宋体" w:eastAsia="宋体" w:cs="Times New Roman"/>
          <w:lang w:val="en-US" w:eastAsia="zh-CN"/>
        </w:rPr>
        <w:t>II</w:t>
      </w:r>
      <w:r>
        <w:rPr>
          <w:rFonts w:hint="eastAsia" w:ascii="宋体" w:eastAsia="宋体" w:cs="Times New Roman"/>
          <w:lang w:val="en-US" w:eastAsia="zh-CN"/>
        </w:rPr>
        <w:fldChar w:fldCharType="end"/>
      </w:r>
      <w:r>
        <w:rPr>
          <w:rFonts w:hint="eastAsia" w:ascii="宋体" w:eastAsia="宋体" w:cs="Times New Roman"/>
          <w:lang w:val="en-US" w:eastAsia="zh-CN"/>
        </w:rPr>
        <w:fldChar w:fldCharType="end"/>
      </w:r>
    </w:p>
    <w:p w14:paraId="517418C1">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_Toc31350 </w:instrText>
      </w:r>
      <w:r>
        <w:rPr>
          <w:rFonts w:ascii="宋体" w:eastAsia="宋体" w:cs="Times New Roman"/>
        </w:rPr>
        <w:fldChar w:fldCharType="separate"/>
      </w:r>
      <w:r>
        <w:rPr>
          <w:rFonts w:hint="eastAsia" w:ascii="宋体" w:eastAsia="宋体" w:cs="Times New Roman"/>
        </w:rPr>
        <w:t>1 范围</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_Toc31350 \h </w:instrText>
      </w:r>
      <w:r>
        <w:rPr>
          <w:rFonts w:ascii="宋体" w:eastAsia="宋体" w:cs="Times New Roman"/>
        </w:rPr>
        <w:fldChar w:fldCharType="separate"/>
      </w:r>
      <w:r>
        <w:rPr>
          <w:rFonts w:ascii="宋体" w:eastAsia="宋体" w:cs="Times New Roman"/>
        </w:rPr>
        <w:t>1</w:t>
      </w:r>
      <w:r>
        <w:rPr>
          <w:rFonts w:ascii="宋体" w:eastAsia="宋体" w:cs="Times New Roman"/>
        </w:rPr>
        <w:fldChar w:fldCharType="end"/>
      </w:r>
      <w:r>
        <w:rPr>
          <w:rFonts w:ascii="宋体" w:eastAsia="宋体" w:cs="Times New Roman"/>
        </w:rPr>
        <w:fldChar w:fldCharType="end"/>
      </w:r>
    </w:p>
    <w:p w14:paraId="3011DD25">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_Toc24819 </w:instrText>
      </w:r>
      <w:r>
        <w:rPr>
          <w:rFonts w:ascii="宋体" w:eastAsia="宋体" w:cs="Times New Roman"/>
        </w:rPr>
        <w:fldChar w:fldCharType="separate"/>
      </w:r>
      <w:r>
        <w:rPr>
          <w:rFonts w:hint="eastAsia" w:ascii="宋体" w:eastAsia="宋体" w:cs="Times New Roman"/>
        </w:rPr>
        <w:t>2 规范性引用文件</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_Toc24819 \h </w:instrText>
      </w:r>
      <w:r>
        <w:rPr>
          <w:rFonts w:ascii="宋体" w:eastAsia="宋体" w:cs="Times New Roman"/>
        </w:rPr>
        <w:fldChar w:fldCharType="separate"/>
      </w:r>
      <w:r>
        <w:rPr>
          <w:rFonts w:ascii="宋体" w:eastAsia="宋体" w:cs="Times New Roman"/>
        </w:rPr>
        <w:t>1</w:t>
      </w:r>
      <w:r>
        <w:rPr>
          <w:rFonts w:ascii="宋体" w:eastAsia="宋体" w:cs="Times New Roman"/>
        </w:rPr>
        <w:fldChar w:fldCharType="end"/>
      </w:r>
      <w:r>
        <w:rPr>
          <w:rFonts w:ascii="宋体" w:eastAsia="宋体" w:cs="Times New Roman"/>
        </w:rPr>
        <w:fldChar w:fldCharType="end"/>
      </w:r>
    </w:p>
    <w:p w14:paraId="3F8D77CB">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_Toc19248 </w:instrText>
      </w:r>
      <w:r>
        <w:rPr>
          <w:rFonts w:ascii="宋体" w:eastAsia="宋体" w:cs="Times New Roman"/>
        </w:rPr>
        <w:fldChar w:fldCharType="separate"/>
      </w:r>
      <w:r>
        <w:rPr>
          <w:rFonts w:hint="eastAsia" w:ascii="宋体" w:eastAsia="宋体" w:cs="Times New Roman"/>
        </w:rPr>
        <w:t>3 术语和定义</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_Toc19248 \h </w:instrText>
      </w:r>
      <w:r>
        <w:rPr>
          <w:rFonts w:ascii="宋体" w:eastAsia="宋体" w:cs="Times New Roman"/>
        </w:rPr>
        <w:fldChar w:fldCharType="separate"/>
      </w:r>
      <w:r>
        <w:rPr>
          <w:rFonts w:ascii="宋体" w:eastAsia="宋体" w:cs="Times New Roman"/>
        </w:rPr>
        <w:t>1</w:t>
      </w:r>
      <w:r>
        <w:rPr>
          <w:rFonts w:ascii="宋体" w:eastAsia="宋体" w:cs="Times New Roman"/>
        </w:rPr>
        <w:fldChar w:fldCharType="end"/>
      </w:r>
      <w:r>
        <w:rPr>
          <w:rFonts w:ascii="宋体" w:eastAsia="宋体" w:cs="Times New Roman"/>
        </w:rPr>
        <w:fldChar w:fldCharType="end"/>
      </w:r>
    </w:p>
    <w:p w14:paraId="06A98F8D">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_Toc7564 </w:instrText>
      </w:r>
      <w:r>
        <w:rPr>
          <w:rFonts w:ascii="宋体" w:eastAsia="宋体" w:cs="Times New Roman"/>
        </w:rPr>
        <w:fldChar w:fldCharType="separate"/>
      </w:r>
      <w:r>
        <w:rPr>
          <w:rFonts w:hint="eastAsia" w:ascii="宋体" w:eastAsia="宋体" w:cs="Times New Roman"/>
        </w:rPr>
        <w:t xml:space="preserve">4 </w:t>
      </w:r>
      <w:r>
        <w:rPr>
          <w:rFonts w:hint="eastAsia" w:ascii="宋体" w:eastAsia="宋体" w:cs="Times New Roman"/>
          <w:lang w:val="en-US" w:eastAsia="zh-CN"/>
        </w:rPr>
        <w:t>总体要求</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_Toc7564 \h </w:instrText>
      </w:r>
      <w:r>
        <w:rPr>
          <w:rFonts w:ascii="宋体" w:eastAsia="宋体" w:cs="Times New Roman"/>
        </w:rPr>
        <w:fldChar w:fldCharType="separate"/>
      </w:r>
      <w:r>
        <w:rPr>
          <w:rFonts w:ascii="宋体" w:eastAsia="宋体" w:cs="Times New Roman"/>
        </w:rPr>
        <w:t>2</w:t>
      </w:r>
      <w:r>
        <w:rPr>
          <w:rFonts w:ascii="宋体" w:eastAsia="宋体" w:cs="Times New Roman"/>
        </w:rPr>
        <w:fldChar w:fldCharType="end"/>
      </w:r>
      <w:r>
        <w:rPr>
          <w:rFonts w:ascii="宋体" w:eastAsia="宋体" w:cs="Times New Roman"/>
        </w:rPr>
        <w:fldChar w:fldCharType="end"/>
      </w:r>
    </w:p>
    <w:p w14:paraId="36A715D6">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_Toc29875 </w:instrText>
      </w:r>
      <w:r>
        <w:rPr>
          <w:rFonts w:ascii="宋体" w:eastAsia="宋体" w:cs="Times New Roman"/>
        </w:rPr>
        <w:fldChar w:fldCharType="separate"/>
      </w:r>
      <w:r>
        <w:rPr>
          <w:rFonts w:hint="eastAsia" w:ascii="宋体" w:eastAsia="宋体" w:cs="Times New Roman"/>
        </w:rPr>
        <w:t>5 污染物控制要求</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_Toc29875 \h </w:instrText>
      </w:r>
      <w:r>
        <w:rPr>
          <w:rFonts w:ascii="宋体" w:eastAsia="宋体" w:cs="Times New Roman"/>
        </w:rPr>
        <w:fldChar w:fldCharType="separate"/>
      </w:r>
      <w:r>
        <w:rPr>
          <w:rFonts w:ascii="宋体" w:eastAsia="宋体" w:cs="Times New Roman"/>
        </w:rPr>
        <w:t>3</w:t>
      </w:r>
      <w:r>
        <w:rPr>
          <w:rFonts w:ascii="宋体" w:eastAsia="宋体" w:cs="Times New Roman"/>
        </w:rPr>
        <w:fldChar w:fldCharType="end"/>
      </w:r>
      <w:r>
        <w:rPr>
          <w:rFonts w:ascii="宋体" w:eastAsia="宋体" w:cs="Times New Roman"/>
        </w:rPr>
        <w:fldChar w:fldCharType="end"/>
      </w:r>
    </w:p>
    <w:p w14:paraId="5906497F">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_Toc16445 </w:instrText>
      </w:r>
      <w:r>
        <w:rPr>
          <w:rFonts w:ascii="宋体" w:eastAsia="宋体" w:cs="Times New Roman"/>
        </w:rPr>
        <w:fldChar w:fldCharType="separate"/>
      </w:r>
      <w:r>
        <w:rPr>
          <w:rFonts w:hint="eastAsia" w:ascii="宋体" w:eastAsia="宋体" w:cs="Times New Roman"/>
          <w:lang w:eastAsia="zh-CN"/>
        </w:rPr>
        <w:t xml:space="preserve">6 </w:t>
      </w:r>
      <w:r>
        <w:rPr>
          <w:rFonts w:hint="eastAsia" w:ascii="宋体" w:eastAsia="宋体" w:cs="Times New Roman"/>
          <w:lang w:val="en-US" w:eastAsia="zh-CN"/>
        </w:rPr>
        <w:t>指标要求</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_Toc16445 \h </w:instrText>
      </w:r>
      <w:r>
        <w:rPr>
          <w:rFonts w:ascii="宋体" w:eastAsia="宋体" w:cs="Times New Roman"/>
        </w:rPr>
        <w:fldChar w:fldCharType="separate"/>
      </w:r>
      <w:r>
        <w:rPr>
          <w:rFonts w:ascii="宋体" w:eastAsia="宋体" w:cs="Times New Roman"/>
        </w:rPr>
        <w:t>3</w:t>
      </w:r>
      <w:r>
        <w:rPr>
          <w:rFonts w:ascii="宋体" w:eastAsia="宋体" w:cs="Times New Roman"/>
        </w:rPr>
        <w:fldChar w:fldCharType="end"/>
      </w:r>
      <w:r>
        <w:rPr>
          <w:rFonts w:ascii="宋体" w:eastAsia="宋体" w:cs="Times New Roman"/>
        </w:rPr>
        <w:fldChar w:fldCharType="end"/>
      </w:r>
    </w:p>
    <w:p w14:paraId="01F2391A">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_Toc30611 </w:instrText>
      </w:r>
      <w:r>
        <w:rPr>
          <w:rFonts w:ascii="宋体" w:eastAsia="宋体" w:cs="Times New Roman"/>
        </w:rPr>
        <w:fldChar w:fldCharType="separate"/>
      </w:r>
      <w:r>
        <w:rPr>
          <w:rFonts w:hint="eastAsia" w:ascii="宋体" w:eastAsia="宋体" w:cs="Times New Roman"/>
          <w:lang w:val="en-US" w:eastAsia="zh-CN"/>
        </w:rPr>
        <w:t>7 生产过程环境管理</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_Toc30611 \h </w:instrText>
      </w:r>
      <w:r>
        <w:rPr>
          <w:rFonts w:ascii="宋体" w:eastAsia="宋体" w:cs="Times New Roman"/>
        </w:rPr>
        <w:fldChar w:fldCharType="separate"/>
      </w:r>
      <w:r>
        <w:rPr>
          <w:rFonts w:ascii="宋体" w:eastAsia="宋体" w:cs="Times New Roman"/>
        </w:rPr>
        <w:t>4</w:t>
      </w:r>
      <w:r>
        <w:rPr>
          <w:rFonts w:ascii="宋体" w:eastAsia="宋体" w:cs="Times New Roman"/>
        </w:rPr>
        <w:fldChar w:fldCharType="end"/>
      </w:r>
      <w:r>
        <w:rPr>
          <w:rFonts w:ascii="宋体" w:eastAsia="宋体" w:cs="Times New Roman"/>
        </w:rPr>
        <w:fldChar w:fldCharType="end"/>
      </w:r>
    </w:p>
    <w:p w14:paraId="58FE860F">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_Toc7394 </w:instrText>
      </w:r>
      <w:r>
        <w:rPr>
          <w:rFonts w:ascii="宋体" w:eastAsia="宋体" w:cs="Times New Roman"/>
        </w:rPr>
        <w:fldChar w:fldCharType="separate"/>
      </w:r>
      <w:r>
        <w:rPr>
          <w:rFonts w:hint="eastAsia" w:ascii="宋体" w:eastAsia="宋体" w:cs="Times New Roman"/>
        </w:rPr>
        <w:t xml:space="preserve">附录A </w:t>
      </w:r>
      <w:r>
        <w:rPr>
          <w:rFonts w:ascii="宋体" w:eastAsia="宋体" w:cs="Times New Roman"/>
        </w:rPr>
        <w:t xml:space="preserve"> </w:t>
      </w:r>
      <w:r>
        <w:rPr>
          <w:rFonts w:hint="eastAsia" w:ascii="宋体" w:eastAsia="宋体" w:cs="Times New Roman"/>
        </w:rPr>
        <w:t>（规范性）</w:t>
      </w:r>
      <w:r>
        <w:rPr>
          <w:rFonts w:ascii="宋体" w:eastAsia="宋体" w:cs="Times New Roman"/>
        </w:rPr>
        <w:t xml:space="preserve"> </w:t>
      </w:r>
      <w:r>
        <w:rPr>
          <w:rFonts w:hint="eastAsia" w:ascii="宋体" w:eastAsia="宋体" w:cs="Times New Roman"/>
        </w:rPr>
        <w:t>企业废气排放限值及监测要求</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_Toc7394 \h </w:instrText>
      </w:r>
      <w:r>
        <w:rPr>
          <w:rFonts w:ascii="宋体" w:eastAsia="宋体" w:cs="Times New Roman"/>
        </w:rPr>
        <w:fldChar w:fldCharType="separate"/>
      </w:r>
      <w:r>
        <w:rPr>
          <w:rFonts w:ascii="宋体" w:eastAsia="宋体" w:cs="Times New Roman"/>
        </w:rPr>
        <w:t>6</w:t>
      </w:r>
      <w:r>
        <w:rPr>
          <w:rFonts w:ascii="宋体" w:eastAsia="宋体" w:cs="Times New Roman"/>
        </w:rPr>
        <w:fldChar w:fldCharType="end"/>
      </w:r>
      <w:r>
        <w:rPr>
          <w:rFonts w:ascii="宋体" w:eastAsia="宋体" w:cs="Times New Roman"/>
        </w:rPr>
        <w:fldChar w:fldCharType="end"/>
      </w:r>
    </w:p>
    <w:p w14:paraId="16A9EB86">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_Toc16239 </w:instrText>
      </w:r>
      <w:r>
        <w:rPr>
          <w:rFonts w:ascii="宋体" w:eastAsia="宋体" w:cs="Times New Roman"/>
        </w:rPr>
        <w:fldChar w:fldCharType="separate"/>
      </w:r>
      <w:r>
        <w:rPr>
          <w:rFonts w:hint="eastAsia" w:ascii="宋体" w:eastAsia="宋体" w:cs="Times New Roman"/>
        </w:rPr>
        <w:t xml:space="preserve">附录B </w:t>
      </w:r>
      <w:r>
        <w:rPr>
          <w:rFonts w:ascii="宋体" w:eastAsia="宋体" w:cs="Times New Roman"/>
        </w:rPr>
        <w:t xml:space="preserve"> </w:t>
      </w:r>
      <w:r>
        <w:rPr>
          <w:rFonts w:hint="eastAsia" w:ascii="宋体" w:eastAsia="宋体" w:cs="Times New Roman"/>
        </w:rPr>
        <w:t>（规范性）</w:t>
      </w:r>
      <w:r>
        <w:rPr>
          <w:rFonts w:ascii="宋体" w:eastAsia="宋体" w:cs="Times New Roman"/>
        </w:rPr>
        <w:t xml:space="preserve"> </w:t>
      </w:r>
      <w:r>
        <w:rPr>
          <w:rFonts w:hint="eastAsia" w:ascii="宋体" w:eastAsia="宋体" w:cs="Times New Roman"/>
        </w:rPr>
        <w:t>企业废水排放限值及监测要求</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_Toc16239 \h </w:instrText>
      </w:r>
      <w:r>
        <w:rPr>
          <w:rFonts w:ascii="宋体" w:eastAsia="宋体" w:cs="Times New Roman"/>
        </w:rPr>
        <w:fldChar w:fldCharType="separate"/>
      </w:r>
      <w:r>
        <w:rPr>
          <w:rFonts w:ascii="宋体" w:eastAsia="宋体" w:cs="Times New Roman"/>
        </w:rPr>
        <w:t>7</w:t>
      </w:r>
      <w:r>
        <w:rPr>
          <w:rFonts w:ascii="宋体" w:eastAsia="宋体" w:cs="Times New Roman"/>
        </w:rPr>
        <w:fldChar w:fldCharType="end"/>
      </w:r>
      <w:r>
        <w:rPr>
          <w:rFonts w:ascii="宋体" w:eastAsia="宋体" w:cs="Times New Roman"/>
        </w:rPr>
        <w:fldChar w:fldCharType="end"/>
      </w:r>
    </w:p>
    <w:p w14:paraId="5A41C9EF">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_Toc781 </w:instrText>
      </w:r>
      <w:r>
        <w:rPr>
          <w:rFonts w:ascii="宋体" w:eastAsia="宋体" w:cs="Times New Roman"/>
        </w:rPr>
        <w:fldChar w:fldCharType="separate"/>
      </w:r>
      <w:r>
        <w:rPr>
          <w:rFonts w:hint="eastAsia" w:ascii="宋体" w:eastAsia="宋体" w:cs="Times New Roman"/>
        </w:rPr>
        <w:t xml:space="preserve">附录C </w:t>
      </w:r>
      <w:r>
        <w:rPr>
          <w:rFonts w:ascii="宋体" w:eastAsia="宋体" w:cs="Times New Roman"/>
        </w:rPr>
        <w:t xml:space="preserve"> </w:t>
      </w:r>
      <w:r>
        <w:rPr>
          <w:rFonts w:hint="eastAsia" w:ascii="宋体" w:eastAsia="宋体" w:cs="Times New Roman"/>
        </w:rPr>
        <w:t>（规范性）</w:t>
      </w:r>
      <w:r>
        <w:rPr>
          <w:rFonts w:ascii="宋体" w:eastAsia="宋体" w:cs="Times New Roman"/>
        </w:rPr>
        <w:t xml:space="preserve"> </w:t>
      </w:r>
      <w:r>
        <w:rPr>
          <w:rFonts w:hint="eastAsia" w:ascii="宋体" w:eastAsia="宋体" w:cs="Times New Roman"/>
        </w:rPr>
        <w:t>企业清洁生产指标要求</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_Toc781 \h </w:instrText>
      </w:r>
      <w:r>
        <w:rPr>
          <w:rFonts w:ascii="宋体" w:eastAsia="宋体" w:cs="Times New Roman"/>
        </w:rPr>
        <w:fldChar w:fldCharType="separate"/>
      </w:r>
      <w:r>
        <w:rPr>
          <w:rFonts w:ascii="宋体" w:eastAsia="宋体" w:cs="Times New Roman"/>
        </w:rPr>
        <w:t>8</w:t>
      </w:r>
      <w:r>
        <w:rPr>
          <w:rFonts w:ascii="宋体" w:eastAsia="宋体" w:cs="Times New Roman"/>
        </w:rPr>
        <w:fldChar w:fldCharType="end"/>
      </w:r>
      <w:r>
        <w:rPr>
          <w:rFonts w:ascii="宋体" w:eastAsia="宋体" w:cs="Times New Roman"/>
        </w:rPr>
        <w:fldChar w:fldCharType="end"/>
      </w:r>
    </w:p>
    <w:p w14:paraId="2A995F57">
      <w:pPr>
        <w:pStyle w:val="19"/>
        <w:tabs>
          <w:tab w:val="right" w:leader="dot" w:pos="9344"/>
        </w:tabs>
        <w:rPr>
          <w:rFonts w:ascii="宋体" w:eastAsia="宋体" w:cs="Times New Roman"/>
        </w:rPr>
      </w:pPr>
      <w:r>
        <w:rPr>
          <w:rFonts w:ascii="宋体" w:eastAsia="宋体" w:cs="Times New Roman"/>
        </w:rPr>
        <w:fldChar w:fldCharType="begin"/>
      </w:r>
      <w:r>
        <w:rPr>
          <w:rFonts w:ascii="宋体" w:eastAsia="宋体" w:cs="Times New Roman"/>
        </w:rPr>
        <w:instrText xml:space="preserve"> HYPERLINK \l _Toc20052 </w:instrText>
      </w:r>
      <w:r>
        <w:rPr>
          <w:rFonts w:ascii="宋体" w:eastAsia="宋体" w:cs="Times New Roman"/>
        </w:rPr>
        <w:fldChar w:fldCharType="separate"/>
      </w:r>
      <w:r>
        <w:rPr>
          <w:rFonts w:hint="eastAsia" w:ascii="宋体" w:eastAsia="宋体" w:cs="Times New Roman"/>
        </w:rPr>
        <w:t xml:space="preserve">附录D </w:t>
      </w:r>
      <w:r>
        <w:rPr>
          <w:rFonts w:ascii="宋体" w:eastAsia="宋体" w:cs="Times New Roman"/>
        </w:rPr>
        <w:t xml:space="preserve"> </w:t>
      </w:r>
      <w:r>
        <w:rPr>
          <w:rFonts w:hint="eastAsia" w:ascii="宋体" w:eastAsia="宋体" w:cs="Times New Roman"/>
        </w:rPr>
        <w:t>（</w:t>
      </w:r>
      <w:r>
        <w:rPr>
          <w:rFonts w:hint="eastAsia" w:ascii="宋体" w:eastAsia="宋体" w:cs="Times New Roman"/>
          <w:lang w:val="en-US" w:eastAsia="zh-CN"/>
        </w:rPr>
        <w:t>资料</w:t>
      </w:r>
      <w:r>
        <w:rPr>
          <w:rFonts w:hint="eastAsia" w:ascii="宋体" w:eastAsia="宋体" w:cs="Times New Roman"/>
        </w:rPr>
        <w:t>性）</w:t>
      </w:r>
      <w:r>
        <w:rPr>
          <w:rFonts w:ascii="宋体" w:eastAsia="宋体" w:cs="Times New Roman"/>
        </w:rPr>
        <w:t xml:space="preserve"> </w:t>
      </w:r>
      <w:r>
        <w:rPr>
          <w:rFonts w:hint="eastAsia" w:ascii="宋体" w:eastAsia="宋体" w:cs="Times New Roman"/>
        </w:rPr>
        <w:t>企业从事清洁生产相关人员培训内容</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_Toc20052 \h </w:instrText>
      </w:r>
      <w:r>
        <w:rPr>
          <w:rFonts w:ascii="宋体" w:eastAsia="宋体" w:cs="Times New Roman"/>
        </w:rPr>
        <w:fldChar w:fldCharType="separate"/>
      </w:r>
      <w:r>
        <w:rPr>
          <w:rFonts w:ascii="宋体" w:eastAsia="宋体" w:cs="Times New Roman"/>
        </w:rPr>
        <w:t>9</w:t>
      </w:r>
      <w:r>
        <w:rPr>
          <w:rFonts w:ascii="宋体" w:eastAsia="宋体" w:cs="Times New Roman"/>
        </w:rPr>
        <w:fldChar w:fldCharType="end"/>
      </w:r>
      <w:r>
        <w:rPr>
          <w:rFonts w:ascii="宋体" w:eastAsia="宋体" w:cs="Times New Roman"/>
        </w:rPr>
        <w:fldChar w:fldCharType="end"/>
      </w:r>
    </w:p>
    <w:p w14:paraId="70AE2F63">
      <w:pPr>
        <w:pStyle w:val="19"/>
        <w:tabs>
          <w:tab w:val="right" w:leader="dot" w:pos="9344"/>
        </w:tabs>
      </w:pPr>
      <w:r>
        <w:rPr>
          <w:rFonts w:ascii="宋体" w:eastAsia="宋体" w:cs="Times New Roman"/>
        </w:rPr>
        <w:fldChar w:fldCharType="begin"/>
      </w:r>
      <w:r>
        <w:rPr>
          <w:rFonts w:ascii="宋体" w:eastAsia="宋体" w:cs="Times New Roman"/>
        </w:rPr>
        <w:instrText xml:space="preserve"> HYPERLINK \l _Toc8781 </w:instrText>
      </w:r>
      <w:r>
        <w:rPr>
          <w:rFonts w:ascii="宋体" w:eastAsia="宋体" w:cs="Times New Roman"/>
        </w:rPr>
        <w:fldChar w:fldCharType="separate"/>
      </w:r>
      <w:r>
        <w:rPr>
          <w:rFonts w:hint="eastAsia" w:ascii="宋体" w:eastAsia="宋体" w:cs="Times New Roman"/>
        </w:rPr>
        <w:t>参考文献</w:t>
      </w:r>
      <w:r>
        <w:rPr>
          <w:rFonts w:ascii="宋体" w:eastAsia="宋体" w:cs="Times New Roman"/>
        </w:rPr>
        <w:tab/>
      </w:r>
      <w:r>
        <w:rPr>
          <w:rFonts w:ascii="宋体" w:eastAsia="宋体" w:cs="Times New Roman"/>
        </w:rPr>
        <w:fldChar w:fldCharType="begin"/>
      </w:r>
      <w:r>
        <w:rPr>
          <w:rFonts w:ascii="宋体" w:eastAsia="宋体" w:cs="Times New Roman"/>
        </w:rPr>
        <w:instrText xml:space="preserve"> PAGEREF _Toc8781 \h </w:instrText>
      </w:r>
      <w:r>
        <w:rPr>
          <w:rFonts w:ascii="宋体" w:eastAsia="宋体" w:cs="Times New Roman"/>
        </w:rPr>
        <w:fldChar w:fldCharType="separate"/>
      </w:r>
      <w:r>
        <w:rPr>
          <w:rFonts w:ascii="宋体" w:eastAsia="宋体" w:cs="Times New Roman"/>
        </w:rPr>
        <w:t>10</w:t>
      </w:r>
      <w:r>
        <w:rPr>
          <w:rFonts w:ascii="宋体" w:eastAsia="宋体" w:cs="Times New Roman"/>
        </w:rPr>
        <w:fldChar w:fldCharType="end"/>
      </w:r>
      <w:r>
        <w:rPr>
          <w:rFonts w:ascii="宋体" w:eastAsia="宋体" w:cs="Times New Roman"/>
        </w:rPr>
        <w:fldChar w:fldCharType="end"/>
      </w:r>
    </w:p>
    <w:p w14:paraId="421AA5AE">
      <w:pPr>
        <w:pStyle w:val="19"/>
        <w:tabs>
          <w:tab w:val="right" w:leader="dot" w:pos="9344"/>
        </w:tabs>
        <w:rPr>
          <w:rFonts w:asciiTheme="minorHAnsi" w:hAnsiTheme="minorHAnsi" w:eastAsiaTheme="minorEastAsia" w:cstheme="minorBidi"/>
          <w:szCs w:val="22"/>
        </w:rPr>
      </w:pPr>
      <w:r>
        <w:fldChar w:fldCharType="end"/>
      </w:r>
    </w:p>
    <w:p w14:paraId="71480AA6">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21"/>
    <w:bookmarkEnd w:id="22"/>
    <w:p w14:paraId="68BA350D">
      <w:pPr>
        <w:pStyle w:val="89"/>
        <w:keepNext w:val="0"/>
        <w:keepLines w:val="0"/>
        <w:pageBreakBefore w:val="0"/>
        <w:widowControl/>
        <w:kinsoku/>
        <w:wordWrap/>
        <w:overflowPunct/>
        <w:topLinePunct w:val="0"/>
        <w:autoSpaceDE/>
        <w:autoSpaceDN/>
        <w:bidi w:val="0"/>
        <w:adjustRightInd/>
        <w:snapToGrid/>
        <w:spacing w:before="900" w:after="468"/>
        <w:textAlignment w:val="auto"/>
        <w:outlineLvl w:val="9"/>
      </w:pPr>
      <w:bookmarkStart w:id="23" w:name="_Toc11300"/>
      <w:bookmarkStart w:id="24" w:name="_Toc4932"/>
      <w:bookmarkStart w:id="25" w:name="BookMark2"/>
      <w:r>
        <w:rPr>
          <w:spacing w:val="320"/>
        </w:rPr>
        <w:t>前</w:t>
      </w:r>
      <w:r>
        <w:t>言</w:t>
      </w:r>
      <w:bookmarkEnd w:id="23"/>
      <w:bookmarkEnd w:id="24"/>
    </w:p>
    <w:p w14:paraId="4E978167">
      <w:pPr>
        <w:pStyle w:val="56"/>
        <w:ind w:firstLine="420"/>
      </w:pPr>
      <w:r>
        <w:rPr>
          <w:rFonts w:hint="eastAsia"/>
        </w:rPr>
        <w:t>本文件按照</w:t>
      </w:r>
      <w:r>
        <w:rPr>
          <w:rFonts w:ascii="Times New Roman"/>
        </w:rPr>
        <w:t>GB/T 1.1—2020</w:t>
      </w:r>
      <w:r>
        <w:rPr>
          <w:rFonts w:hint="eastAsia"/>
        </w:rPr>
        <w:t>《标准化工作导则 第</w:t>
      </w:r>
      <w:r>
        <w:rPr>
          <w:rFonts w:ascii="Times New Roman"/>
        </w:rPr>
        <w:t>1</w:t>
      </w:r>
      <w:r>
        <w:rPr>
          <w:rFonts w:hint="eastAsia"/>
        </w:rPr>
        <w:t>部分：标准化文件的结构和起草规则》的规定起草。</w:t>
      </w:r>
    </w:p>
    <w:p w14:paraId="11C25004">
      <w:pPr>
        <w:pStyle w:val="56"/>
        <w:ind w:firstLine="420"/>
      </w:pPr>
      <w:r>
        <w:rPr>
          <w:rFonts w:hint="eastAsia"/>
        </w:rPr>
        <w:t>请注意本文件的某些内容可能涉及专利。本文件的发布机构不承担识别专利的责任。</w:t>
      </w:r>
    </w:p>
    <w:p w14:paraId="4A4FDBE4">
      <w:pPr>
        <w:pStyle w:val="56"/>
        <w:ind w:firstLine="420"/>
      </w:pPr>
      <w:r>
        <w:rPr>
          <w:rFonts w:hint="eastAsia"/>
        </w:rPr>
        <w:t>本文件由</w:t>
      </w:r>
      <w:r>
        <w:rPr>
          <w:rFonts w:hint="eastAsia"/>
          <w:lang w:val="en-US" w:eastAsia="zh-CN"/>
        </w:rPr>
        <w:t>湖南金凯循环科技股份有限公司</w:t>
      </w:r>
      <w:r>
        <w:rPr>
          <w:rFonts w:hint="eastAsia"/>
        </w:rPr>
        <w:t>提出。</w:t>
      </w:r>
    </w:p>
    <w:p w14:paraId="4770E21F">
      <w:pPr>
        <w:pStyle w:val="56"/>
        <w:ind w:firstLine="420"/>
      </w:pPr>
      <w:r>
        <w:rPr>
          <w:rFonts w:hint="eastAsia"/>
        </w:rPr>
        <w:t>本文件由湖南省</w:t>
      </w:r>
      <w:r>
        <w:rPr>
          <w:rFonts w:hint="eastAsia"/>
          <w:lang w:val="en-US" w:eastAsia="zh-CN"/>
        </w:rPr>
        <w:t>工业和信息化厅</w:t>
      </w:r>
      <w:r>
        <w:rPr>
          <w:rFonts w:hint="eastAsia"/>
        </w:rPr>
        <w:t>归口。</w:t>
      </w:r>
    </w:p>
    <w:p w14:paraId="000C50FF">
      <w:pPr>
        <w:pStyle w:val="56"/>
        <w:ind w:firstLine="420"/>
        <w:rPr>
          <w:rFonts w:hint="eastAsia" w:ascii="宋体" w:eastAsia="宋体"/>
          <w:color w:val="auto"/>
          <w:lang w:val="en-US" w:eastAsia="zh-CN"/>
        </w:rPr>
      </w:pPr>
      <w:r>
        <w:rPr>
          <w:rFonts w:hint="eastAsia"/>
        </w:rPr>
        <w:t>本文件起草单位：</w:t>
      </w:r>
      <w:r>
        <w:rPr>
          <w:rFonts w:hint="eastAsia"/>
          <w:lang w:val="en-US" w:eastAsia="zh-CN"/>
        </w:rPr>
        <w:t>湖南金凯循环科技股份有限公司、长沙金凯循环科技有</w:t>
      </w:r>
      <w:r>
        <w:rPr>
          <w:rFonts w:hint="eastAsia" w:ascii="宋体" w:eastAsia="宋体"/>
          <w:lang w:val="en-US" w:eastAsia="zh-CN"/>
        </w:rPr>
        <w:t>限公司、长沙理工大学、湖南金源新材料股</w:t>
      </w:r>
      <w:r>
        <w:rPr>
          <w:rFonts w:hint="eastAsia" w:ascii="宋体" w:eastAsia="宋体"/>
          <w:color w:val="auto"/>
          <w:lang w:val="en-US" w:eastAsia="zh-CN"/>
        </w:rPr>
        <w:t>份有限公司</w:t>
      </w:r>
      <w:r>
        <w:rPr>
          <w:rFonts w:hint="eastAsia"/>
          <w:color w:val="auto"/>
          <w:lang w:val="en-US" w:eastAsia="zh-CN"/>
        </w:rPr>
        <w:t>。</w:t>
      </w:r>
    </w:p>
    <w:p w14:paraId="276EE545">
      <w:pPr>
        <w:pStyle w:val="56"/>
        <w:ind w:firstLine="420"/>
        <w:rPr>
          <w:rFonts w:hint="default" w:eastAsia="宋体"/>
          <w:color w:val="auto"/>
          <w:lang w:val="en-US" w:eastAsia="zh-CN"/>
        </w:rPr>
      </w:pPr>
      <w:r>
        <w:rPr>
          <w:rFonts w:hint="eastAsia"/>
          <w:color w:val="auto"/>
        </w:rPr>
        <w:t>本文件主要起草人：</w:t>
      </w:r>
      <w:r>
        <w:rPr>
          <w:rFonts w:hint="eastAsia"/>
          <w:color w:val="auto"/>
          <w:lang w:val="en-US" w:eastAsia="zh-CN"/>
        </w:rPr>
        <w:t>颜群轩、谭群英、孙丹、宋刘斌、刘训兵、肖绍辉、罗碧云、陈嘉鑫、蒋实、张义铭、林旭峰、肖忠良、匡尹杰、赵亭亭、颜果春、钟强、董中林。</w:t>
      </w:r>
    </w:p>
    <w:p w14:paraId="3504371B">
      <w:pPr>
        <w:pStyle w:val="56"/>
        <w:ind w:firstLine="420"/>
      </w:pPr>
    </w:p>
    <w:p w14:paraId="4CE1B720">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5"/>
    <w:p w14:paraId="1C5A6F81">
      <w:pPr>
        <w:spacing w:line="20" w:lineRule="exact"/>
        <w:jc w:val="center"/>
        <w:rPr>
          <w:rFonts w:ascii="黑体" w:hAnsi="黑体" w:eastAsia="黑体"/>
          <w:sz w:val="32"/>
          <w:szCs w:val="32"/>
        </w:rPr>
      </w:pPr>
      <w:bookmarkStart w:id="26" w:name="BookMark4"/>
    </w:p>
    <w:p w14:paraId="040A20DA">
      <w:pPr>
        <w:spacing w:line="20" w:lineRule="exact"/>
        <w:jc w:val="center"/>
        <w:rPr>
          <w:rFonts w:ascii="黑体" w:hAnsi="黑体" w:eastAsia="黑体"/>
          <w:sz w:val="32"/>
          <w:szCs w:val="32"/>
        </w:rPr>
      </w:pPr>
    </w:p>
    <w:sdt>
      <w:sdtPr>
        <w:tag w:val="NEW_STAND_NAME"/>
        <w:id w:val="595910757"/>
        <w:lock w:val="sdtLocked"/>
        <w:placeholder>
          <w:docPart w:val="D86148FD3DEA4DCAAE9298A5300EB736"/>
        </w:placeholder>
      </w:sdtPr>
      <w:sdtContent>
        <w:p w14:paraId="7D6101AD">
          <w:pPr>
            <w:pStyle w:val="177"/>
            <w:spacing w:before="3" w:beforeLines="1" w:after="686" w:afterLines="220"/>
          </w:pPr>
          <w:bookmarkStart w:id="27" w:name="NEW_STAND_NAME"/>
          <w:r>
            <w:rPr>
              <w:rFonts w:hint="eastAsia"/>
            </w:rPr>
            <w:t>清洁生产规范 废旧锂离子电池材料再生企业要求</w:t>
          </w:r>
        </w:p>
      </w:sdtContent>
    </w:sdt>
    <w:bookmarkEnd w:id="27"/>
    <w:p w14:paraId="1C1CAA67">
      <w:pPr>
        <w:pStyle w:val="104"/>
        <w:spacing w:before="312" w:after="312"/>
      </w:pPr>
      <w:bookmarkStart w:id="28" w:name="_Toc31350"/>
      <w:bookmarkStart w:id="29" w:name="_Toc24884211"/>
      <w:bookmarkStart w:id="30" w:name="_Toc26986771"/>
      <w:bookmarkStart w:id="31" w:name="_Toc17233333"/>
      <w:bookmarkStart w:id="32" w:name="_Toc24884218"/>
      <w:bookmarkStart w:id="33" w:name="_Toc26986530"/>
      <w:bookmarkStart w:id="34" w:name="_Toc17233325"/>
      <w:bookmarkStart w:id="35" w:name="_Toc26648465"/>
      <w:bookmarkStart w:id="36" w:name="_Toc26718930"/>
      <w:bookmarkStart w:id="37" w:name="_Toc105609990"/>
      <w:r>
        <w:rPr>
          <w:rFonts w:hint="eastAsia"/>
        </w:rPr>
        <w:t>范围</w:t>
      </w:r>
      <w:bookmarkEnd w:id="28"/>
      <w:bookmarkEnd w:id="29"/>
      <w:bookmarkEnd w:id="30"/>
      <w:bookmarkEnd w:id="31"/>
      <w:bookmarkEnd w:id="32"/>
      <w:bookmarkEnd w:id="33"/>
      <w:bookmarkEnd w:id="34"/>
      <w:bookmarkEnd w:id="35"/>
      <w:bookmarkEnd w:id="36"/>
      <w:bookmarkEnd w:id="37"/>
    </w:p>
    <w:p w14:paraId="4FCA47ED">
      <w:pPr>
        <w:pStyle w:val="56"/>
        <w:ind w:firstLine="420"/>
        <w:rPr>
          <w:rFonts w:ascii="Times New Roman"/>
        </w:rPr>
      </w:pPr>
      <w:bookmarkStart w:id="38" w:name="_Toc17233326"/>
      <w:bookmarkStart w:id="39" w:name="_Toc26648466"/>
      <w:bookmarkStart w:id="40" w:name="_Toc24884212"/>
      <w:bookmarkStart w:id="41" w:name="_Toc24884219"/>
      <w:bookmarkStart w:id="42" w:name="_Toc17233334"/>
      <w:r>
        <w:rPr>
          <w:rFonts w:hint="eastAsia" w:ascii="Times New Roman"/>
        </w:rPr>
        <w:t>本文件规定了</w:t>
      </w:r>
      <w:r>
        <w:rPr>
          <w:rFonts w:hint="eastAsia" w:ascii="宋体" w:hAnsi="宋体" w:eastAsia="宋体" w:cs="Times New Roman"/>
          <w:color w:val="000000"/>
          <w:szCs w:val="21"/>
          <w:lang w:val="en-US" w:eastAsia="zh-CN" w:bidi="ar"/>
        </w:rPr>
        <w:t>在满足国家和地方污染物排放标准要求的前提下，根据现有行业污染控制技术水平和运行环境管理水平，</w:t>
      </w:r>
      <w:r>
        <w:rPr>
          <w:rFonts w:hint="eastAsia" w:hAnsi="宋体" w:cs="Times New Roman"/>
          <w:color w:val="000000"/>
          <w:szCs w:val="21"/>
          <w:lang w:val="en-US" w:eastAsia="zh-CN" w:bidi="ar"/>
        </w:rPr>
        <w:t>规定了</w:t>
      </w:r>
      <w:r>
        <w:rPr>
          <w:rFonts w:hint="eastAsia" w:ascii="宋体" w:hAnsi="宋体" w:eastAsia="宋体" w:cs="Times New Roman"/>
          <w:color w:val="000000"/>
          <w:szCs w:val="21"/>
          <w:lang w:val="en-US" w:eastAsia="zh-CN" w:bidi="ar"/>
        </w:rPr>
        <w:t>废旧锂离子电池材料再生企业清洁生产的一般要求。</w:t>
      </w:r>
    </w:p>
    <w:p w14:paraId="228D543B">
      <w:pPr>
        <w:pStyle w:val="56"/>
        <w:ind w:firstLine="420"/>
      </w:pPr>
      <w:r>
        <w:rPr>
          <w:rFonts w:hint="eastAsia"/>
        </w:rPr>
        <w:t>本文件适用于</w:t>
      </w:r>
      <w:r>
        <w:rPr>
          <w:rFonts w:hint="eastAsia" w:ascii="宋体" w:hAnsi="宋体" w:eastAsia="宋体" w:cs="Times New Roman"/>
          <w:color w:val="000000"/>
          <w:szCs w:val="21"/>
          <w:lang w:val="en-US" w:eastAsia="zh-CN" w:bidi="ar"/>
        </w:rPr>
        <w:t>采</w:t>
      </w:r>
      <w:r>
        <w:rPr>
          <w:rFonts w:hint="eastAsia" w:ascii="宋体" w:hAnsi="宋体" w:cs="Times New Roman"/>
          <w:color w:val="000000"/>
          <w:szCs w:val="21"/>
          <w:lang w:val="en-US" w:eastAsia="zh-CN" w:bidi="ar"/>
        </w:rPr>
        <w:t>用</w:t>
      </w:r>
      <w:r>
        <w:rPr>
          <w:rFonts w:hint="eastAsia" w:ascii="宋体" w:hAnsi="宋体" w:eastAsia="宋体" w:cs="Times New Roman"/>
          <w:color w:val="000000"/>
          <w:szCs w:val="21"/>
          <w:lang w:val="en-US" w:eastAsia="zh-CN" w:bidi="ar"/>
        </w:rPr>
        <w:t>湿法工艺进行废旧锂离子电池材料再生企业的清洁生产审核</w:t>
      </w:r>
      <w:r>
        <w:rPr>
          <w:rFonts w:hint="eastAsia"/>
        </w:rPr>
        <w:t>。</w:t>
      </w:r>
    </w:p>
    <w:p w14:paraId="42D76429">
      <w:pPr>
        <w:pStyle w:val="104"/>
        <w:spacing w:before="312" w:after="312"/>
      </w:pPr>
      <w:bookmarkStart w:id="43" w:name="_Toc26718931"/>
      <w:bookmarkStart w:id="44" w:name="_Toc24819"/>
      <w:bookmarkStart w:id="45" w:name="_Toc26986772"/>
      <w:bookmarkStart w:id="46" w:name="_Toc105609991"/>
      <w:bookmarkStart w:id="47" w:name="_Toc269865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CBEB9BF19F294B7DAB8AE447F8EC812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AF2576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9B75CE2">
      <w:pPr>
        <w:pStyle w:val="56"/>
        <w:ind w:firstLine="420"/>
        <w:rPr>
          <w:rFonts w:hint="default" w:ascii="Times New Roman" w:hAnsi="Times New Roman" w:cs="Times New Roman"/>
        </w:rPr>
      </w:pPr>
      <w:r>
        <w:rPr>
          <w:rFonts w:hint="default" w:ascii="Times New Roman" w:hAnsi="Times New Roman" w:cs="Times New Roman"/>
        </w:rPr>
        <w:t>GB 8978 污水综合排放标准</w:t>
      </w:r>
    </w:p>
    <w:p w14:paraId="448075E6">
      <w:pPr>
        <w:pStyle w:val="56"/>
        <w:ind w:firstLine="420"/>
        <w:rPr>
          <w:rFonts w:hint="default" w:ascii="Times New Roman" w:hAnsi="Times New Roman" w:cs="Times New Roman"/>
        </w:rPr>
      </w:pPr>
      <w:r>
        <w:rPr>
          <w:rFonts w:hint="default" w:ascii="Times New Roman" w:hAnsi="Times New Roman" w:cs="Times New Roman"/>
        </w:rPr>
        <w:t>GB 9078 工业炉窑大气污染物排放标准</w:t>
      </w:r>
    </w:p>
    <w:p w14:paraId="21CF5F77">
      <w:pPr>
        <w:pStyle w:val="56"/>
        <w:ind w:firstLine="420"/>
        <w:rPr>
          <w:rFonts w:hint="default" w:ascii="Times New Roman" w:hAnsi="Times New Roman" w:cs="Times New Roman"/>
        </w:rPr>
      </w:pPr>
      <w:r>
        <w:rPr>
          <w:rFonts w:hint="default" w:ascii="Times New Roman" w:hAnsi="Times New Roman" w:cs="Times New Roman"/>
        </w:rPr>
        <w:t>GB 12348 工业企业厂界环境噪声排放标准</w:t>
      </w:r>
    </w:p>
    <w:p w14:paraId="0675D913">
      <w:pPr>
        <w:pStyle w:val="56"/>
        <w:ind w:firstLine="420"/>
        <w:rPr>
          <w:rFonts w:hint="default" w:ascii="Times New Roman" w:hAnsi="Times New Roman" w:cs="Times New Roman"/>
        </w:rPr>
      </w:pPr>
      <w:r>
        <w:rPr>
          <w:rFonts w:hint="default" w:ascii="Times New Roman" w:hAnsi="Times New Roman" w:cs="Times New Roman"/>
        </w:rPr>
        <w:t>GB 16297 大气污染物综合排放标准</w:t>
      </w:r>
    </w:p>
    <w:p w14:paraId="147B9CE3">
      <w:pPr>
        <w:pStyle w:val="56"/>
        <w:ind w:firstLine="420"/>
        <w:rPr>
          <w:rFonts w:hint="default" w:ascii="Times New Roman" w:hAnsi="Times New Roman" w:cs="Times New Roman"/>
        </w:rPr>
      </w:pPr>
      <w:r>
        <w:rPr>
          <w:rFonts w:hint="default" w:ascii="Times New Roman" w:hAnsi="Times New Roman" w:cs="Times New Roman"/>
        </w:rPr>
        <w:t>GB 18484 危险废物焚烧污染控制标准</w:t>
      </w:r>
    </w:p>
    <w:p w14:paraId="1E392CF8">
      <w:pPr>
        <w:pStyle w:val="56"/>
        <w:ind w:firstLine="420"/>
        <w:rPr>
          <w:rFonts w:hint="default" w:ascii="Times New Roman" w:hAnsi="Times New Roman" w:cs="Times New Roman"/>
        </w:rPr>
      </w:pPr>
      <w:r>
        <w:rPr>
          <w:rFonts w:hint="default" w:ascii="Times New Roman" w:hAnsi="Times New Roman" w:cs="Times New Roman"/>
        </w:rPr>
        <w:t>GB 18597 危险废物贮存污染控制标准</w:t>
      </w:r>
    </w:p>
    <w:p w14:paraId="7D03DFD2">
      <w:pPr>
        <w:pStyle w:val="56"/>
        <w:ind w:firstLine="420"/>
        <w:rPr>
          <w:rFonts w:hint="default" w:ascii="Times New Roman" w:hAnsi="Times New Roman" w:cs="Times New Roman"/>
        </w:rPr>
      </w:pPr>
      <w:r>
        <w:rPr>
          <w:rFonts w:hint="default" w:ascii="Times New Roman" w:hAnsi="Times New Roman" w:cs="Times New Roman"/>
        </w:rPr>
        <w:t>GB 18599 一般工业固体废物贮存和填埋污染控制标准</w:t>
      </w:r>
    </w:p>
    <w:p w14:paraId="66384101">
      <w:pPr>
        <w:pStyle w:val="56"/>
        <w:ind w:firstLine="420"/>
        <w:rPr>
          <w:rFonts w:hint="default" w:ascii="Times New Roman" w:hAnsi="Times New Roman" w:cs="Times New Roman"/>
        </w:rPr>
      </w:pPr>
      <w:r>
        <w:rPr>
          <w:rFonts w:hint="default" w:ascii="Times New Roman" w:hAnsi="Times New Roman" w:cs="Times New Roman"/>
        </w:rPr>
        <w:t>GB/T 24001 环境管理体系 要求及使用指南</w:t>
      </w:r>
    </w:p>
    <w:p w14:paraId="30F1DC0F">
      <w:pPr>
        <w:pStyle w:val="56"/>
        <w:ind w:firstLine="420"/>
        <w:rPr>
          <w:rFonts w:hint="default" w:ascii="Times New Roman" w:hAnsi="Times New Roman" w:cs="Times New Roman"/>
        </w:rPr>
      </w:pPr>
      <w:r>
        <w:rPr>
          <w:rFonts w:hint="default" w:ascii="Times New Roman" w:hAnsi="Times New Roman" w:cs="Times New Roman"/>
        </w:rPr>
        <w:t>GB/T 26008 电池级单水氢氧化锂</w:t>
      </w:r>
    </w:p>
    <w:p w14:paraId="19037CBE">
      <w:pPr>
        <w:pStyle w:val="56"/>
        <w:ind w:firstLine="420"/>
        <w:rPr>
          <w:rFonts w:hint="default" w:ascii="Times New Roman" w:hAnsi="Times New Roman" w:cs="Times New Roman"/>
        </w:rPr>
      </w:pPr>
      <w:r>
        <w:rPr>
          <w:rFonts w:hint="default" w:ascii="Times New Roman" w:hAnsi="Times New Roman" w:cs="Times New Roman"/>
        </w:rPr>
        <w:t>GB/T 26300 镍钴锰三元素复合氢氧化物</w:t>
      </w:r>
    </w:p>
    <w:p w14:paraId="43B93653">
      <w:pPr>
        <w:pStyle w:val="56"/>
        <w:ind w:firstLine="420"/>
        <w:rPr>
          <w:rFonts w:hint="default" w:ascii="Times New Roman" w:hAnsi="Times New Roman" w:cs="Times New Roman"/>
        </w:rPr>
      </w:pPr>
      <w:r>
        <w:rPr>
          <w:rFonts w:hint="default" w:ascii="Times New Roman" w:hAnsi="Times New Roman" w:cs="Times New Roman"/>
        </w:rPr>
        <w:t>GB/T 26493 电池废料贮存规范</w:t>
      </w:r>
    </w:p>
    <w:p w14:paraId="4E2BBAA4">
      <w:pPr>
        <w:pStyle w:val="56"/>
        <w:ind w:firstLine="420"/>
        <w:rPr>
          <w:rFonts w:hint="default" w:ascii="Times New Roman" w:hAnsi="Times New Roman" w:cs="Times New Roman"/>
        </w:rPr>
      </w:pPr>
      <w:r>
        <w:rPr>
          <w:rFonts w:hint="default" w:ascii="Times New Roman" w:hAnsi="Times New Roman" w:cs="Times New Roman"/>
        </w:rPr>
        <w:t>GB/T 26522 精制氯化镍</w:t>
      </w:r>
    </w:p>
    <w:p w14:paraId="42650F89">
      <w:pPr>
        <w:pStyle w:val="56"/>
        <w:ind w:firstLine="420"/>
        <w:rPr>
          <w:rFonts w:hint="default" w:ascii="Times New Roman" w:hAnsi="Times New Roman" w:cs="Times New Roman"/>
        </w:rPr>
      </w:pPr>
      <w:r>
        <w:rPr>
          <w:rFonts w:hint="default" w:ascii="Times New Roman" w:hAnsi="Times New Roman" w:cs="Times New Roman"/>
        </w:rPr>
        <w:t>GB/T 26523 精制硫酸钴</w:t>
      </w:r>
    </w:p>
    <w:p w14:paraId="1A858B85">
      <w:pPr>
        <w:pStyle w:val="56"/>
        <w:ind w:firstLine="420"/>
        <w:rPr>
          <w:rFonts w:hint="default" w:ascii="Times New Roman" w:hAnsi="Times New Roman" w:cs="Times New Roman"/>
        </w:rPr>
      </w:pPr>
      <w:r>
        <w:rPr>
          <w:rFonts w:hint="default" w:ascii="Times New Roman" w:hAnsi="Times New Roman" w:cs="Times New Roman"/>
        </w:rPr>
        <w:t>GB/T 26524 精制硫酸镍</w:t>
      </w:r>
    </w:p>
    <w:p w14:paraId="0EC11096">
      <w:pPr>
        <w:pStyle w:val="56"/>
        <w:ind w:firstLine="420"/>
        <w:rPr>
          <w:rFonts w:hint="default" w:ascii="Times New Roman" w:hAnsi="Times New Roman" w:cs="Times New Roman"/>
        </w:rPr>
      </w:pPr>
      <w:r>
        <w:rPr>
          <w:rFonts w:hint="default" w:ascii="Times New Roman" w:hAnsi="Times New Roman" w:cs="Times New Roman"/>
        </w:rPr>
        <w:t>GB/T 26525 精制氯化钴</w:t>
      </w:r>
    </w:p>
    <w:p w14:paraId="2D95ACFB">
      <w:pPr>
        <w:pStyle w:val="56"/>
        <w:ind w:firstLine="420"/>
        <w:rPr>
          <w:rFonts w:hint="default" w:ascii="Times New Roman" w:hAnsi="Times New Roman" w:cs="Times New Roman"/>
        </w:rPr>
      </w:pPr>
      <w:r>
        <w:rPr>
          <w:rFonts w:hint="default" w:ascii="Times New Roman" w:hAnsi="Times New Roman" w:cs="Times New Roman"/>
        </w:rPr>
        <w:t>GB 30484 电池工业污染物排放标准</w:t>
      </w:r>
    </w:p>
    <w:p w14:paraId="5BF1B33D">
      <w:pPr>
        <w:pStyle w:val="56"/>
        <w:ind w:firstLine="420"/>
        <w:rPr>
          <w:rFonts w:hint="default" w:ascii="Times New Roman" w:hAnsi="Times New Roman" w:cs="Times New Roman"/>
        </w:rPr>
      </w:pPr>
      <w:r>
        <w:rPr>
          <w:rFonts w:hint="default" w:ascii="Times New Roman" w:hAnsi="Times New Roman" w:cs="Times New Roman"/>
        </w:rPr>
        <w:t>GB 31573 无机化学工业污染物排放标准</w:t>
      </w:r>
    </w:p>
    <w:p w14:paraId="171CC2FF">
      <w:pPr>
        <w:pStyle w:val="56"/>
        <w:ind w:firstLine="420"/>
        <w:rPr>
          <w:rFonts w:hint="default" w:ascii="Times New Roman" w:hAnsi="Times New Roman" w:cs="Times New Roman"/>
        </w:rPr>
      </w:pPr>
      <w:r>
        <w:rPr>
          <w:rFonts w:hint="default" w:ascii="Times New Roman" w:hAnsi="Times New Roman" w:cs="Times New Roman"/>
        </w:rPr>
        <w:t>YS/T 582 电池级碳酸锂</w:t>
      </w:r>
    </w:p>
    <w:p w14:paraId="7DC3F5EE">
      <w:pPr>
        <w:pStyle w:val="56"/>
        <w:ind w:firstLine="420"/>
        <w:rPr>
          <w:rFonts w:hint="default" w:ascii="Times New Roman" w:hAnsi="Times New Roman" w:cs="Times New Roman"/>
        </w:rPr>
      </w:pPr>
      <w:r>
        <w:rPr>
          <w:rFonts w:hint="default" w:ascii="Times New Roman" w:hAnsi="Times New Roman" w:cs="Times New Roman"/>
        </w:rPr>
        <w:t>HG/T 4701 电池用磷酸铁</w:t>
      </w:r>
    </w:p>
    <w:p w14:paraId="26A4AA68">
      <w:pPr>
        <w:pStyle w:val="56"/>
        <w:ind w:firstLine="420"/>
        <w:rPr>
          <w:rFonts w:hint="default" w:ascii="Times New Roman" w:hAnsi="Times New Roman" w:cs="Times New Roman"/>
        </w:rPr>
      </w:pPr>
      <w:r>
        <w:rPr>
          <w:rFonts w:hint="default" w:ascii="Times New Roman" w:hAnsi="Times New Roman" w:cs="Times New Roman"/>
        </w:rPr>
        <w:t>HG/T 3816 工业氯化锰</w:t>
      </w:r>
    </w:p>
    <w:p w14:paraId="77C68651">
      <w:pPr>
        <w:pStyle w:val="56"/>
        <w:ind w:firstLine="420"/>
        <w:rPr>
          <w:rFonts w:hint="default" w:ascii="Times New Roman" w:hAnsi="Times New Roman" w:cs="Times New Roman"/>
        </w:rPr>
      </w:pPr>
      <w:r>
        <w:rPr>
          <w:rFonts w:hint="default" w:ascii="Times New Roman" w:hAnsi="Times New Roman" w:cs="Times New Roman"/>
        </w:rPr>
        <w:t>HG/T 4823 电池用硫酸锰</w:t>
      </w:r>
    </w:p>
    <w:p w14:paraId="2E72EB89">
      <w:pPr>
        <w:pStyle w:val="56"/>
        <w:ind w:firstLine="420"/>
        <w:rPr>
          <w:rFonts w:hint="eastAsia" w:ascii="Times New Roman"/>
        </w:rPr>
      </w:pPr>
      <w:r>
        <w:rPr>
          <w:rFonts w:hint="default" w:ascii="Times New Roman" w:hAnsi="Times New Roman" w:cs="Times New Roman"/>
        </w:rPr>
        <w:t>DB43/T 1988 车用</w:t>
      </w:r>
      <w:r>
        <w:rPr>
          <w:rFonts w:hint="eastAsia" w:ascii="Times New Roman"/>
        </w:rPr>
        <w:t>锂离子动力电池材料回收能源消耗限额及计算方法</w:t>
      </w:r>
    </w:p>
    <w:p w14:paraId="2A159F07">
      <w:pPr>
        <w:pStyle w:val="104"/>
        <w:spacing w:before="312" w:after="312"/>
        <w:rPr>
          <w:color w:val="auto"/>
        </w:rPr>
      </w:pPr>
      <w:bookmarkStart w:id="48" w:name="_Toc105609992"/>
      <w:bookmarkStart w:id="49" w:name="_Toc19248"/>
      <w:r>
        <w:rPr>
          <w:rFonts w:hint="eastAsia"/>
          <w:szCs w:val="21"/>
        </w:rPr>
        <w:t>术语和定义</w:t>
      </w:r>
      <w:bookmarkEnd w:id="48"/>
      <w:bookmarkEnd w:id="49"/>
    </w:p>
    <w:sdt>
      <w:sdtPr>
        <w:rPr>
          <w:rFonts w:ascii="Times New Roman"/>
          <w:color w:val="auto"/>
        </w:rPr>
        <w:id w:val="-1909835108"/>
        <w:placeholder>
          <w:docPart w:val="F9D65E0B1CDE48F7B243291364C489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color w:val="auto"/>
        </w:rPr>
      </w:sdtEndPr>
      <w:sdtContent>
        <w:p w14:paraId="0AF1D749">
          <w:pPr>
            <w:pStyle w:val="56"/>
            <w:ind w:firstLine="420"/>
            <w:rPr>
              <w:rFonts w:ascii="Times New Roman"/>
              <w:color w:val="auto"/>
            </w:rPr>
          </w:pPr>
          <w:bookmarkStart w:id="50" w:name="_Toc26986532"/>
          <w:bookmarkEnd w:id="50"/>
          <w:r>
            <w:rPr>
              <w:rFonts w:ascii="Times New Roman" w:hAnsi="Times New Roman" w:eastAsia="宋体" w:cs="Times New Roman"/>
              <w:color w:val="auto"/>
              <w:sz w:val="21"/>
              <w:lang w:val="en-US" w:eastAsia="zh-CN" w:bidi="ar-SA"/>
            </w:rPr>
            <w:t>下列术语和定义适用于本文件。</w:t>
          </w:r>
        </w:p>
      </w:sdtContent>
    </w:sdt>
    <w:p w14:paraId="5C724A06">
      <w:pPr>
        <w:pStyle w:val="223"/>
        <w:shd w:val="clear"/>
        <w:ind w:left="420" w:hanging="420" w:hangingChars="200"/>
        <w:rPr>
          <w:rFonts w:ascii="黑体" w:hAnsi="黑体" w:eastAsia="黑体"/>
          <w:color w:val="auto"/>
          <w:highlight w:val="none"/>
        </w:rPr>
      </w:pPr>
      <w:r>
        <w:rPr>
          <w:rFonts w:ascii="黑体" w:hAnsi="黑体" w:eastAsia="黑体"/>
          <w:color w:val="auto"/>
        </w:rPr>
        <w:br w:type="textWrapping"/>
      </w:r>
      <w:r>
        <w:rPr>
          <w:rFonts w:hint="eastAsia" w:ascii="黑体" w:hAnsi="黑体" w:eastAsia="黑体"/>
          <w:color w:val="auto"/>
        </w:rPr>
        <w:t>清</w:t>
      </w:r>
      <w:r>
        <w:rPr>
          <w:rFonts w:hint="eastAsia" w:ascii="黑体" w:hAnsi="黑体" w:eastAsia="黑体"/>
          <w:color w:val="auto"/>
          <w:highlight w:val="none"/>
        </w:rPr>
        <w:t>洁生产</w:t>
      </w:r>
      <w:r>
        <w:rPr>
          <w:rFonts w:hint="default" w:ascii="Times New Roman" w:hAnsi="Times New Roman" w:eastAsia="黑体" w:cs="Times New Roman"/>
          <w:color w:val="auto"/>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cleaner production</w:t>
      </w:r>
    </w:p>
    <w:p w14:paraId="2A7E0505">
      <w:pPr>
        <w:pStyle w:val="56"/>
        <w:shd w:val="clear"/>
        <w:ind w:firstLine="420"/>
        <w:rPr>
          <w:rFonts w:hint="eastAsia"/>
          <w:color w:val="auto"/>
          <w:highlight w:val="none"/>
        </w:rPr>
      </w:pPr>
      <w:r>
        <w:rPr>
          <w:rFonts w:hint="eastAsia"/>
          <w:color w:val="auto"/>
          <w:highlight w:val="none"/>
        </w:rPr>
        <w:t>指</w:t>
      </w:r>
      <w:r>
        <w:rPr>
          <w:rFonts w:hint="eastAsia"/>
          <w:color w:val="auto"/>
          <w:highlight w:val="none"/>
          <w:lang w:eastAsia="zh-CN"/>
        </w:rPr>
        <w:t>在生产过程中</w:t>
      </w:r>
      <w:r>
        <w:rPr>
          <w:rFonts w:hint="eastAsia" w:ascii="宋体" w:hAnsi="Times New Roman" w:eastAsia="宋体" w:cs="Times New Roman"/>
          <w:color w:val="auto"/>
          <w:highlight w:val="none"/>
        </w:rPr>
        <w:t>不断</w:t>
      </w:r>
      <w:r>
        <w:rPr>
          <w:rFonts w:hint="eastAsia"/>
          <w:color w:val="auto"/>
          <w:highlight w:val="none"/>
        </w:rPr>
        <w:t>采取改进设计、使用清洁的能源和原料、采用先进的工艺技术与设备、改善管理、综合利用等措施，从源头削减污染，提高资源利用率，减少或者避免生产、服务和产品使用过程中污染物的产生和排放，以减轻或者消除对人类健康和环境的危害。</w:t>
      </w:r>
    </w:p>
    <w:p w14:paraId="1D2E2682">
      <w:pPr>
        <w:pStyle w:val="223"/>
        <w:shd w:val="clear"/>
        <w:ind w:left="420" w:hanging="420" w:hangingChars="200"/>
        <w:rPr>
          <w:rFonts w:hint="default" w:ascii="Times New Roman" w:hAnsi="Times New Roman" w:eastAsia="黑体" w:cs="Times New Roman"/>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锂离子电池</w:t>
      </w:r>
      <w:r>
        <w:rPr>
          <w:rFonts w:hint="default" w:ascii="Times New Roman" w:hAnsi="Times New Roman" w:eastAsia="黑体" w:cs="Times New Roman"/>
          <w:color w:val="auto"/>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lithium ion battery</w:t>
      </w:r>
    </w:p>
    <w:p w14:paraId="53A6877C">
      <w:pPr>
        <w:pStyle w:val="56"/>
        <w:shd w:val="clear"/>
        <w:ind w:firstLine="420"/>
        <w:rPr>
          <w:rFonts w:ascii="黑体" w:hAnsi="黑体" w:eastAsia="黑体"/>
          <w:color w:val="auto"/>
          <w:highlight w:val="none"/>
        </w:rPr>
      </w:pPr>
      <w:r>
        <w:rPr>
          <w:rFonts w:hint="eastAsia" w:ascii="宋体" w:hAnsi="宋体" w:eastAsia="宋体" w:cs="宋体"/>
          <w:color w:val="auto"/>
          <w:kern w:val="0"/>
          <w:sz w:val="21"/>
          <w:szCs w:val="21"/>
          <w:highlight w:val="none"/>
          <w:lang w:val="en-US" w:eastAsia="zh-CN" w:bidi="ar"/>
        </w:rPr>
        <w:t>利用锂离子作为导电离子，在阳极和阴极之间移动，通过化学能和电能相互转化实现充放电的电池。</w:t>
      </w:r>
    </w:p>
    <w:p w14:paraId="13979014">
      <w:pPr>
        <w:pStyle w:val="223"/>
        <w:shd w:val="clear"/>
        <w:ind w:left="420" w:hanging="420" w:hangingChars="200"/>
        <w:rPr>
          <w:rFonts w:hint="default" w:ascii="Times New Roman" w:hAnsi="Times New Roman" w:eastAsia="黑体" w:cs="Times New Roman"/>
          <w:color w:val="auto"/>
          <w:highlight w:val="none"/>
        </w:rPr>
      </w:pPr>
      <w:r>
        <w:rPr>
          <w:rFonts w:ascii="黑体" w:hAnsi="黑体" w:eastAsia="黑体"/>
          <w:color w:val="auto"/>
          <w:highlight w:val="none"/>
        </w:rPr>
        <w:br w:type="textWrapping"/>
      </w:r>
      <w:r>
        <w:rPr>
          <w:rFonts w:hint="eastAsia" w:ascii="黑体" w:hAnsi="黑体" w:eastAsia="黑体" w:cs="Times New Roman"/>
          <w:color w:val="auto"/>
          <w:highlight w:val="none"/>
          <w:lang w:val="en-US" w:eastAsia="zh-CN"/>
        </w:rPr>
        <w:t>废旧锂离子电池</w:t>
      </w:r>
      <w:r>
        <w:rPr>
          <w:rFonts w:hint="default" w:ascii="Times New Roman" w:hAnsi="Times New Roman" w:eastAsia="黑体" w:cs="Times New Roman"/>
          <w:color w:val="auto"/>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spent lithium</w:t>
      </w:r>
      <w:r>
        <w:rPr>
          <w:rFonts w:hint="eastAsia" w:ascii="Times New Roman" w:eastAsia="黑体" w:cs="Times New Roman"/>
          <w:b w:val="0"/>
          <w:bCs/>
          <w:color w:val="auto"/>
          <w:szCs w:val="28"/>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ion battery</w:t>
      </w:r>
    </w:p>
    <w:p w14:paraId="0F6F4AF5">
      <w:pPr>
        <w:pStyle w:val="56"/>
        <w:shd w:val="clear"/>
        <w:ind w:firstLine="42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不存在使用价值而被废弃的电池成品或半成品，在此主要指提供能量的锂离子电池，包括在电池生产、运输、贮存、使用过程中产生的不合格产品、报废产品、过期产品。</w:t>
      </w:r>
    </w:p>
    <w:p w14:paraId="2B12C4D7">
      <w:pPr>
        <w:pStyle w:val="223"/>
        <w:shd w:val="clear"/>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废旧锂离子电池材料</w:t>
      </w:r>
      <w:r>
        <w:rPr>
          <w:rFonts w:hint="eastAsia" w:ascii="黑体" w:hAnsi="黑体" w:eastAsia="黑体"/>
          <w:color w:val="auto"/>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spent lithium-ion battery material</w:t>
      </w:r>
    </w:p>
    <w:p w14:paraId="797BE991">
      <w:pPr>
        <w:pStyle w:val="56"/>
        <w:shd w:val="clear"/>
        <w:ind w:firstLine="42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指在生产、生活和其他活动中产生的丧失原有利用价值或者虽未丧失利用价值但被抛弃或放弃的锂离子电池及其废元（器）件、零（部）件和原材料。</w:t>
      </w:r>
    </w:p>
    <w:p w14:paraId="7DC8CC66">
      <w:pPr>
        <w:pStyle w:val="223"/>
        <w:shd w:val="clear"/>
        <w:ind w:left="420" w:hanging="420" w:hangingChars="200"/>
        <w:rPr>
          <w:rFonts w:hint="default" w:ascii="Times New Roman" w:hAnsi="Times New Roman" w:eastAsia="黑体" w:cs="Times New Roman"/>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湿法冶金</w:t>
      </w:r>
      <w:r>
        <w:rPr>
          <w:rFonts w:hint="eastAsia" w:ascii="黑体" w:hAnsi="黑体" w:eastAsia="黑体"/>
          <w:color w:val="auto"/>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hydrometallurgy</w:t>
      </w:r>
    </w:p>
    <w:p w14:paraId="0A2D52C5">
      <w:pPr>
        <w:pStyle w:val="56"/>
        <w:shd w:val="clear"/>
        <w:ind w:firstLine="42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指</w:t>
      </w:r>
      <w:r>
        <w:rPr>
          <w:rFonts w:hint="eastAsia" w:hAnsi="宋体" w:cs="宋体"/>
          <w:color w:val="auto"/>
          <w:kern w:val="0"/>
          <w:sz w:val="21"/>
          <w:szCs w:val="21"/>
          <w:highlight w:val="none"/>
          <w:lang w:val="en-US" w:eastAsia="zh-CN" w:bidi="ar"/>
        </w:rPr>
        <w:t>金属混合原料与</w:t>
      </w:r>
      <w:r>
        <w:rPr>
          <w:rFonts w:hint="eastAsia" w:ascii="宋体" w:hAnsi="宋体" w:eastAsia="宋体" w:cs="宋体"/>
          <w:color w:val="auto"/>
          <w:kern w:val="0"/>
          <w:sz w:val="21"/>
          <w:szCs w:val="21"/>
          <w:highlight w:val="none"/>
          <w:lang w:val="en-US" w:eastAsia="zh-CN" w:bidi="ar"/>
        </w:rPr>
        <w:t>某种溶剂</w:t>
      </w:r>
      <w:r>
        <w:rPr>
          <w:rFonts w:hint="eastAsia" w:hAnsi="宋体" w:cs="宋体"/>
          <w:color w:val="auto"/>
          <w:kern w:val="0"/>
          <w:sz w:val="21"/>
          <w:szCs w:val="21"/>
          <w:highlight w:val="none"/>
          <w:lang w:val="en-US" w:eastAsia="zh-CN" w:bidi="ar"/>
        </w:rPr>
        <w:t>接触后</w:t>
      </w:r>
      <w:r>
        <w:rPr>
          <w:rFonts w:hint="eastAsia" w:ascii="宋体" w:hAnsi="宋体" w:eastAsia="宋体" w:cs="宋体"/>
          <w:color w:val="auto"/>
          <w:kern w:val="0"/>
          <w:sz w:val="21"/>
          <w:szCs w:val="21"/>
          <w:highlight w:val="none"/>
          <w:lang w:val="en-US" w:eastAsia="zh-CN" w:bidi="ar"/>
        </w:rPr>
        <w:t>，在溶液中借助</w:t>
      </w:r>
      <w:r>
        <w:rPr>
          <w:rFonts w:hint="eastAsia" w:hAnsi="宋体" w:cs="宋体"/>
          <w:color w:val="auto"/>
          <w:kern w:val="0"/>
          <w:sz w:val="21"/>
          <w:szCs w:val="21"/>
          <w:highlight w:val="none"/>
          <w:lang w:val="en-US" w:eastAsia="zh-CN" w:bidi="ar"/>
        </w:rPr>
        <w:t>物理、</w:t>
      </w:r>
      <w:r>
        <w:rPr>
          <w:rFonts w:hint="eastAsia" w:ascii="宋体" w:hAnsi="宋体" w:eastAsia="宋体" w:cs="宋体"/>
          <w:color w:val="auto"/>
          <w:kern w:val="0"/>
          <w:sz w:val="21"/>
          <w:szCs w:val="21"/>
          <w:highlight w:val="none"/>
          <w:lang w:val="en-US" w:eastAsia="zh-CN" w:bidi="ar"/>
        </w:rPr>
        <w:t>化学作用，将金属</w:t>
      </w:r>
      <w:r>
        <w:rPr>
          <w:rFonts w:hint="eastAsia" w:hAnsi="宋体" w:cs="宋体"/>
          <w:color w:val="auto"/>
          <w:kern w:val="0"/>
          <w:sz w:val="21"/>
          <w:szCs w:val="21"/>
          <w:highlight w:val="none"/>
          <w:lang w:val="en-US" w:eastAsia="zh-CN" w:bidi="ar"/>
        </w:rPr>
        <w:t>或化合物</w:t>
      </w:r>
      <w:r>
        <w:rPr>
          <w:rFonts w:hint="eastAsia" w:ascii="宋体" w:hAnsi="宋体" w:eastAsia="宋体" w:cs="宋体"/>
          <w:color w:val="auto"/>
          <w:kern w:val="0"/>
          <w:sz w:val="21"/>
          <w:szCs w:val="21"/>
          <w:highlight w:val="none"/>
          <w:lang w:val="en-US" w:eastAsia="zh-CN" w:bidi="ar"/>
        </w:rPr>
        <w:t>从中提炼出来的技术工艺。</w:t>
      </w:r>
    </w:p>
    <w:p w14:paraId="58F93912">
      <w:pPr>
        <w:pStyle w:val="223"/>
        <w:shd w:val="clear"/>
        <w:ind w:left="420" w:hanging="420" w:hangingChars="200"/>
        <w:rPr>
          <w:rFonts w:hint="default" w:ascii="Times New Roman" w:hAnsi="Times New Roman" w:eastAsia="黑体" w:cs="Times New Roman"/>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拆解</w:t>
      </w:r>
      <w:r>
        <w:rPr>
          <w:rFonts w:hint="default" w:ascii="Times New Roman" w:hAnsi="Times New Roman" w:eastAsia="黑体" w:cs="Times New Roman"/>
          <w:color w:val="auto"/>
          <w:highlight w:val="none"/>
          <w:lang w:val="en-US" w:eastAsia="zh-CN"/>
        </w:rPr>
        <w:t xml:space="preserve"> </w:t>
      </w:r>
      <w:r>
        <w:rPr>
          <w:rFonts w:hint="eastAsia" w:ascii="Times New Roman" w:hAnsi="Times New Roman" w:eastAsia="黑体" w:cs="Times New Roman"/>
          <w:b w:val="0"/>
          <w:bCs/>
          <w:color w:val="auto"/>
          <w:szCs w:val="28"/>
          <w:highlight w:val="none"/>
          <w:lang w:val="en-US" w:eastAsia="zh-CN"/>
        </w:rPr>
        <w:t>dismantling</w:t>
      </w:r>
    </w:p>
    <w:p w14:paraId="4AF4D76E">
      <w:pPr>
        <w:pStyle w:val="56"/>
        <w:shd w:val="clea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指将废旧电池电池包和电池模块进行解体的作业。</w:t>
      </w:r>
    </w:p>
    <w:p w14:paraId="207E67BC">
      <w:pPr>
        <w:pStyle w:val="223"/>
        <w:shd w:val="clear"/>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焙烧</w:t>
      </w:r>
      <w:r>
        <w:rPr>
          <w:rFonts w:hint="eastAsia" w:ascii="黑体" w:hAnsi="黑体" w:eastAsia="黑体"/>
          <w:color w:val="auto"/>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roasting</w:t>
      </w:r>
    </w:p>
    <w:p w14:paraId="1083142A">
      <w:pPr>
        <w:pStyle w:val="56"/>
        <w:shd w:val="clea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指将废旧电池加热而又不使其熔化，以改变其化学组成或物理性质的过程。</w:t>
      </w:r>
    </w:p>
    <w:p w14:paraId="63A3DBEE">
      <w:pPr>
        <w:pStyle w:val="223"/>
        <w:shd w:val="clear"/>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破碎分选</w:t>
      </w:r>
      <w:r>
        <w:rPr>
          <w:rFonts w:hint="eastAsia" w:ascii="黑体" w:hAnsi="黑体" w:eastAsia="黑体"/>
          <w:color w:val="auto"/>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crush and sorting</w:t>
      </w:r>
    </w:p>
    <w:p w14:paraId="42B618DE">
      <w:pPr>
        <w:pStyle w:val="56"/>
        <w:shd w:val="clear"/>
        <w:ind w:firstLine="42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指通过粗破、细破、筛分、风选、磁选等过程，实现废旧电池组分分离</w:t>
      </w:r>
      <w:r>
        <w:rPr>
          <w:rFonts w:hint="eastAsia" w:hAnsi="宋体" w:cs="宋体"/>
          <w:color w:val="auto"/>
          <w:kern w:val="0"/>
          <w:sz w:val="21"/>
          <w:szCs w:val="21"/>
          <w:highlight w:val="none"/>
          <w:lang w:val="en-US" w:eastAsia="zh-CN" w:bidi="ar"/>
        </w:rPr>
        <w:t>的处理过程</w:t>
      </w:r>
      <w:r>
        <w:rPr>
          <w:rFonts w:hint="eastAsia" w:ascii="宋体" w:hAnsi="宋体" w:eastAsia="宋体" w:cs="宋体"/>
          <w:color w:val="auto"/>
          <w:kern w:val="0"/>
          <w:sz w:val="21"/>
          <w:szCs w:val="21"/>
          <w:highlight w:val="none"/>
          <w:lang w:val="en-US" w:eastAsia="zh-CN" w:bidi="ar"/>
        </w:rPr>
        <w:t>。</w:t>
      </w:r>
    </w:p>
    <w:p w14:paraId="3BBF167D">
      <w:pPr>
        <w:pStyle w:val="223"/>
        <w:shd w:val="clear"/>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材料回收</w:t>
      </w:r>
      <w:r>
        <w:rPr>
          <w:rFonts w:hint="default" w:ascii="Times New Roman" w:hAnsi="Times New Roman" w:eastAsia="黑体" w:cs="Times New Roman"/>
          <w:color w:val="auto"/>
          <w:highlight w:val="none"/>
          <w:lang w:val="en-US" w:eastAsia="zh-CN"/>
        </w:rPr>
        <w:t xml:space="preserve"> </w:t>
      </w:r>
      <w:r>
        <w:rPr>
          <w:rFonts w:hint="eastAsia" w:ascii="黑体" w:hAnsi="黑体" w:eastAsia="黑体"/>
          <w:b/>
          <w:bCs/>
          <w:color w:val="auto"/>
          <w:sz w:val="21"/>
          <w:highlight w:val="none"/>
        </w:rPr>
        <w:t xml:space="preserve"> </w:t>
      </w:r>
      <w:r>
        <w:rPr>
          <w:rFonts w:hint="eastAsia" w:ascii="Times New Roman" w:hAnsi="Times New Roman" w:eastAsia="黑体" w:cs="Times New Roman"/>
          <w:b w:val="0"/>
          <w:bCs/>
          <w:color w:val="auto"/>
          <w:szCs w:val="28"/>
          <w:highlight w:val="none"/>
          <w:lang w:val="en-US" w:eastAsia="zh-CN"/>
        </w:rPr>
        <w:t>electrode material recycling</w:t>
      </w:r>
    </w:p>
    <w:p w14:paraId="27D38946">
      <w:pPr>
        <w:pStyle w:val="56"/>
        <w:shd w:val="clear"/>
        <w:ind w:firstLine="42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指采用湿法工艺进行回收，将破碎分选粗分离产物经过浸出、分离、提纯</w:t>
      </w:r>
      <w:r>
        <w:rPr>
          <w:rFonts w:hint="eastAsia" w:hAnsi="宋体" w:cs="宋体"/>
          <w:color w:val="auto"/>
          <w:kern w:val="0"/>
          <w:sz w:val="21"/>
          <w:szCs w:val="21"/>
          <w:highlight w:val="none"/>
          <w:lang w:val="en-US" w:eastAsia="zh-CN" w:bidi="ar"/>
        </w:rPr>
        <w:t>获取</w:t>
      </w:r>
      <w:r>
        <w:rPr>
          <w:rFonts w:hint="eastAsia" w:ascii="宋体" w:hAnsi="宋体" w:eastAsia="宋体" w:cs="宋体"/>
          <w:color w:val="auto"/>
          <w:kern w:val="0"/>
          <w:sz w:val="21"/>
          <w:szCs w:val="21"/>
          <w:highlight w:val="none"/>
          <w:lang w:val="en-US" w:eastAsia="zh-CN" w:bidi="ar"/>
        </w:rPr>
        <w:t>化合物的处理过程。</w:t>
      </w:r>
    </w:p>
    <w:p w14:paraId="5FFB2D4F">
      <w:pPr>
        <w:pStyle w:val="223"/>
        <w:shd w:val="clear"/>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企业边界</w:t>
      </w:r>
      <w:r>
        <w:rPr>
          <w:rFonts w:hint="default" w:ascii="Times New Roman" w:hAnsi="Times New Roman" w:eastAsia="黑体" w:cs="Times New Roman"/>
          <w:color w:val="auto"/>
          <w:highlight w:val="none"/>
          <w:lang w:val="en-US" w:eastAsia="zh-CN"/>
        </w:rPr>
        <w:t xml:space="preserve"> </w:t>
      </w:r>
      <w:r>
        <w:rPr>
          <w:rFonts w:hint="default" w:ascii="Times New Roman" w:hAnsi="Times New Roman" w:eastAsia="黑体" w:cs="Times New Roman"/>
          <w:b w:val="0"/>
          <w:bCs/>
          <w:color w:val="auto"/>
          <w:szCs w:val="28"/>
          <w:highlight w:val="none"/>
          <w:lang w:val="en-US" w:eastAsia="zh-CN"/>
        </w:rPr>
        <w:t>enterprise boundary</w:t>
      </w:r>
    </w:p>
    <w:p w14:paraId="3B79C6E1">
      <w:pPr>
        <w:pStyle w:val="56"/>
        <w:shd w:val="clear"/>
        <w:ind w:firstLine="42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highlight w:val="none"/>
          <w:lang w:val="en-US" w:eastAsia="zh-CN" w:bidi="ar"/>
        </w:rPr>
        <w:t>指企业的法定边界。若无</w:t>
      </w:r>
      <w:r>
        <w:rPr>
          <w:rFonts w:hint="eastAsia" w:ascii="宋体" w:hAnsi="宋体" w:eastAsia="宋体" w:cs="宋体"/>
          <w:color w:val="auto"/>
          <w:kern w:val="0"/>
          <w:sz w:val="21"/>
          <w:szCs w:val="21"/>
          <w:lang w:val="en-US" w:eastAsia="zh-CN" w:bidi="ar"/>
        </w:rPr>
        <w:t>法定边界，则指实际边界。</w:t>
      </w:r>
    </w:p>
    <w:bookmarkEnd w:id="26"/>
    <w:p w14:paraId="763F1985">
      <w:pPr>
        <w:pStyle w:val="104"/>
        <w:spacing w:before="312" w:after="312"/>
        <w:rPr>
          <w:rFonts w:ascii="黑体" w:hAnsi="黑体" w:eastAsia="黑体"/>
        </w:rPr>
      </w:pPr>
      <w:bookmarkStart w:id="51" w:name="_Toc7564"/>
      <w:bookmarkStart w:id="52" w:name="BookMark8"/>
      <w:r>
        <w:rPr>
          <w:rFonts w:hint="eastAsia" w:hAnsi="黑体"/>
          <w:lang w:val="en-US" w:eastAsia="zh-CN"/>
        </w:rPr>
        <w:t>总体要求</w:t>
      </w:r>
      <w:bookmarkEnd w:id="51"/>
    </w:p>
    <w:p w14:paraId="219AF720">
      <w:pPr>
        <w:pStyle w:val="162"/>
        <w:rPr>
          <w:rFonts w:hint="default" w:ascii="Times New Roman" w:hAnsi="Times New Roman" w:cs="Times New Roman"/>
        </w:rPr>
      </w:pPr>
      <w:r>
        <w:rPr>
          <w:rFonts w:hint="default" w:ascii="Times New Roman" w:hAnsi="Times New Roman" w:cs="Times New Roman"/>
        </w:rPr>
        <w:t>废旧锂离子电池材料再生企业建设项目选址应当符合国家产业政策和所在地区城乡建设规划、生态保护红线、生态环境保护规划和污染防治、土地利用总体规划、主体功能区规划等要求，其施工建设应满足规范化设计要求。企业不得在自然保护区、风景名胜区、饮用水水源保护区、永久基本农田保护区以及法律、法规规定禁止建设的其他区域内违法建设投产。已在上述区域内投产运营的企业要根据该区域规划要求，在一定期限内，通过依法搬迁、转产等方式逐步退出。</w:t>
      </w:r>
    </w:p>
    <w:p w14:paraId="0C390884">
      <w:pPr>
        <w:pStyle w:val="162"/>
        <w:rPr>
          <w:rFonts w:hint="default" w:ascii="Times New Roman" w:hAnsi="Times New Roman" w:eastAsia="黑体" w:cs="Times New Roman"/>
        </w:rPr>
      </w:pPr>
      <w:r>
        <w:rPr>
          <w:rFonts w:hint="default" w:ascii="Times New Roman" w:hAnsi="Times New Roman" w:cs="Times New Roman"/>
        </w:rPr>
        <w:t>废旧锂离子电池材料再生企业的环境保护设施</w:t>
      </w:r>
      <w:r>
        <w:rPr>
          <w:rFonts w:hint="eastAsia" w:ascii="Times New Roman" w:hAnsi="Times New Roman" w:cs="Times New Roman"/>
          <w:highlight w:val="none"/>
          <w:lang w:val="en-US" w:eastAsia="zh-CN"/>
        </w:rPr>
        <w:t>应</w:t>
      </w:r>
      <w:r>
        <w:rPr>
          <w:rFonts w:hint="default" w:ascii="Times New Roman" w:hAnsi="Times New Roman" w:cs="Times New Roman"/>
          <w:highlight w:val="none"/>
        </w:rPr>
        <w:t>与</w:t>
      </w:r>
      <w:r>
        <w:rPr>
          <w:rFonts w:hint="default" w:ascii="Times New Roman" w:hAnsi="Times New Roman" w:cs="Times New Roman"/>
        </w:rPr>
        <w:t>主体工程同步设计、同时施工、同时投产使用。</w:t>
      </w:r>
    </w:p>
    <w:p w14:paraId="0C1DBAAD">
      <w:pPr>
        <w:pStyle w:val="162"/>
        <w:rPr>
          <w:rFonts w:hint="default" w:ascii="Times New Roman" w:hAnsi="Times New Roman" w:eastAsia="宋体" w:cs="Times New Roman"/>
        </w:rPr>
      </w:pPr>
      <w:r>
        <w:rPr>
          <w:rFonts w:hint="default" w:ascii="Times New Roman" w:hAnsi="Times New Roman" w:eastAsia="宋体" w:cs="Times New Roman"/>
        </w:rPr>
        <w:t>建设场地应布局合理，划分生产区和生活区，生活区应与生产区分隔。</w:t>
      </w:r>
    </w:p>
    <w:p w14:paraId="09940244">
      <w:pPr>
        <w:pStyle w:val="162"/>
        <w:rPr>
          <w:rFonts w:hint="default" w:ascii="Times New Roman" w:hAnsi="Times New Roman" w:eastAsia="黑体" w:cs="Times New Roman"/>
        </w:rPr>
      </w:pPr>
      <w:r>
        <w:rPr>
          <w:rFonts w:hint="default" w:ascii="Times New Roman" w:hAnsi="Times New Roman" w:eastAsia="宋体" w:cs="Times New Roman"/>
        </w:rPr>
        <w:t>原材料、中间料等应放置在防风防雨的厂房内，地面应当硬化并防渗，各功能区域应有明显的界限和标识。</w:t>
      </w:r>
    </w:p>
    <w:p w14:paraId="4468752F">
      <w:pPr>
        <w:pStyle w:val="162"/>
        <w:rPr>
          <w:rFonts w:hint="default" w:ascii="Times New Roman" w:hAnsi="Times New Roman" w:eastAsia="黑体" w:cs="Times New Roman"/>
        </w:rPr>
      </w:pPr>
      <w:r>
        <w:rPr>
          <w:rFonts w:hint="default" w:ascii="Times New Roman" w:hAnsi="Times New Roman" w:eastAsia="宋体" w:cs="Times New Roman"/>
        </w:rPr>
        <w:t>废旧锂离子电池材料应根据形态不同，按GB/T 26493的规定进行分类包装、运输、贮存。</w:t>
      </w:r>
    </w:p>
    <w:p w14:paraId="13839E0D">
      <w:pPr>
        <w:pStyle w:val="162"/>
        <w:rPr>
          <w:rFonts w:hint="default" w:ascii="Times New Roman" w:hAnsi="Times New Roman" w:eastAsia="宋体" w:cs="Times New Roman"/>
        </w:rPr>
      </w:pPr>
      <w:r>
        <w:rPr>
          <w:rFonts w:hint="default" w:ascii="Times New Roman" w:hAnsi="Times New Roman" w:eastAsia="宋体" w:cs="Times New Roman"/>
        </w:rPr>
        <w:t>生产区地面冲洗等生产辅助用废水应按生产废水管理</w:t>
      </w:r>
      <w:r>
        <w:rPr>
          <w:rFonts w:hint="eastAsia" w:ascii="Times New Roman" w:cs="Times New Roman"/>
          <w:highlight w:val="none"/>
          <w:lang w:eastAsia="zh-CN"/>
        </w:rPr>
        <w:t>，</w:t>
      </w:r>
      <w:r>
        <w:rPr>
          <w:rFonts w:hint="default" w:ascii="Times New Roman" w:hAnsi="Times New Roman" w:eastAsia="宋体" w:cs="Times New Roman"/>
          <w:highlight w:val="none"/>
        </w:rPr>
        <w:t>不</w:t>
      </w:r>
      <w:r>
        <w:rPr>
          <w:rFonts w:hint="default" w:ascii="Times New Roman" w:hAnsi="Times New Roman" w:eastAsia="宋体" w:cs="Times New Roman"/>
        </w:rPr>
        <w:t>应直接排入雨水收集管网。</w:t>
      </w:r>
    </w:p>
    <w:p w14:paraId="7165A411">
      <w:pPr>
        <w:pStyle w:val="162"/>
        <w:rPr>
          <w:rFonts w:hint="default" w:ascii="Times New Roman" w:hAnsi="Times New Roman" w:eastAsia="黑体" w:cs="Times New Roman"/>
        </w:rPr>
      </w:pPr>
      <w:r>
        <w:rPr>
          <w:rFonts w:hint="default" w:ascii="Times New Roman" w:hAnsi="Times New Roman" w:eastAsia="宋体" w:cs="Times New Roman"/>
        </w:rPr>
        <w:t>生产过程中易产生废气的部位，应配备集气装置防止废气逸出，收集后的废气应导入废气集中处理设施。</w:t>
      </w:r>
    </w:p>
    <w:p w14:paraId="59BF5EA1">
      <w:pPr>
        <w:pStyle w:val="162"/>
        <w:rPr>
          <w:rFonts w:hint="default" w:ascii="Times New Roman" w:hAnsi="Times New Roman" w:eastAsia="宋体" w:cs="Times New Roman"/>
        </w:rPr>
      </w:pPr>
      <w:r>
        <w:rPr>
          <w:rFonts w:hint="default" w:ascii="Times New Roman" w:hAnsi="Times New Roman" w:eastAsia="宋体" w:cs="Times New Roman"/>
        </w:rPr>
        <w:t>生产过程中易飞扬的粉料，如废电池电极材料粉料等，应采用防泄漏、防遗撒措施输送。</w:t>
      </w:r>
    </w:p>
    <w:p w14:paraId="7AC534F3">
      <w:pPr>
        <w:pStyle w:val="162"/>
        <w:rPr>
          <w:rFonts w:hint="default" w:ascii="Times New Roman" w:hAnsi="Times New Roman" w:eastAsia="黑体" w:cs="Times New Roman"/>
        </w:rPr>
      </w:pPr>
      <w:r>
        <w:rPr>
          <w:rFonts w:hint="default" w:ascii="Times New Roman" w:hAnsi="Times New Roman" w:eastAsia="宋体" w:cs="Times New Roman"/>
        </w:rPr>
        <w:t>生产过程中应避免废电池自燃造成的环境风险，避免电解液、有机溶剂等泄露造成的环境污染</w:t>
      </w:r>
      <w:r>
        <w:rPr>
          <w:rFonts w:hint="default" w:ascii="Times New Roman" w:hAnsi="Times New Roman" w:eastAsia="黑体" w:cs="Times New Roman"/>
        </w:rPr>
        <w:t>。</w:t>
      </w:r>
    </w:p>
    <w:p w14:paraId="3A4E5FD0">
      <w:pPr>
        <w:pStyle w:val="162"/>
        <w:rPr>
          <w:rFonts w:hint="default" w:ascii="Times New Roman" w:hAnsi="Times New Roman" w:eastAsia="宋体" w:cs="Times New Roman"/>
        </w:rPr>
      </w:pPr>
      <w:r>
        <w:rPr>
          <w:rFonts w:hint="default" w:ascii="Times New Roman" w:hAnsi="Times New Roman" w:eastAsia="宋体" w:cs="Times New Roman"/>
        </w:rPr>
        <w:t>生产过程中产生的废气、废水、噪声等排放应满足国家、行业和地方的污染物排放限值、总量控制要求，产生的固体废物应当按照国家有关环境保护规定和标准要求妥善贮存处置。</w:t>
      </w:r>
    </w:p>
    <w:p w14:paraId="6E19C480">
      <w:pPr>
        <w:pStyle w:val="162"/>
        <w:rPr>
          <w:rFonts w:hint="default" w:ascii="Times New Roman" w:hAnsi="Times New Roman" w:eastAsia="宋体" w:cs="Times New Roman"/>
        </w:rPr>
      </w:pPr>
      <w:r>
        <w:rPr>
          <w:rFonts w:hint="default" w:ascii="Times New Roman" w:hAnsi="Times New Roman" w:eastAsia="宋体" w:cs="Times New Roman"/>
        </w:rPr>
        <w:t>企业应建立用能考核制度，配备必要的能源（水、电、天然气等）计量器具。加强对运输、拆卸、储存、拆解、检测、利用等各环节的能耗管控，降低综合能耗，提高能源利用效率。</w:t>
      </w:r>
    </w:p>
    <w:p w14:paraId="0B1493FE">
      <w:pPr>
        <w:pStyle w:val="162"/>
        <w:rPr>
          <w:rFonts w:hint="default" w:ascii="Times New Roman" w:hAnsi="Times New Roman" w:eastAsia="黑体" w:cs="Times New Roman"/>
        </w:rPr>
      </w:pPr>
      <w:r>
        <w:rPr>
          <w:rFonts w:hint="default" w:ascii="Times New Roman" w:hAnsi="Times New Roman" w:eastAsia="宋体" w:cs="Times New Roman"/>
        </w:rPr>
        <w:t>企业生产过程除应满足清洁生产相关要求外，还应符合GB/T 24001环境管理体系等国家标准的相关要求。</w:t>
      </w:r>
    </w:p>
    <w:p w14:paraId="5F8D30B0">
      <w:pPr>
        <w:pStyle w:val="104"/>
        <w:spacing w:before="312" w:after="312"/>
        <w:rPr>
          <w:rFonts w:ascii="黑体" w:hAnsi="黑体" w:eastAsia="黑体"/>
        </w:rPr>
      </w:pPr>
      <w:bookmarkStart w:id="53" w:name="_Toc29875"/>
      <w:r>
        <w:rPr>
          <w:rFonts w:hint="eastAsia" w:ascii="黑体" w:hAnsi="黑体" w:eastAsia="黑体"/>
        </w:rPr>
        <w:t>污染物控制要求</w:t>
      </w:r>
      <w:bookmarkEnd w:id="53"/>
    </w:p>
    <w:p w14:paraId="3B29B97D">
      <w:pPr>
        <w:pStyle w:val="162"/>
        <w:rPr>
          <w:rFonts w:ascii="黑体" w:hAnsi="黑体" w:eastAsia="黑体"/>
        </w:rPr>
      </w:pPr>
      <w:r>
        <w:rPr>
          <w:rFonts w:hint="eastAsia" w:ascii="黑体" w:hAnsi="黑体" w:eastAsia="黑体" w:cs="Times New Roman"/>
          <w:lang w:val="en-US" w:eastAsia="zh-CN"/>
        </w:rPr>
        <w:t>废</w:t>
      </w:r>
      <w:r>
        <w:rPr>
          <w:rFonts w:hint="eastAsia" w:ascii="黑体" w:hAnsi="黑体" w:eastAsia="黑体" w:cs="Times New Roman"/>
        </w:rPr>
        <w:t>气</w:t>
      </w:r>
      <w:r>
        <w:rPr>
          <w:rFonts w:hint="eastAsia" w:ascii="黑体" w:hAnsi="黑体" w:eastAsia="黑体"/>
        </w:rPr>
        <w:t>控制要求</w:t>
      </w:r>
    </w:p>
    <w:p w14:paraId="07693926">
      <w:pPr>
        <w:pStyle w:val="165"/>
        <w:rPr>
          <w:rFonts w:hint="default" w:ascii="Times New Roman" w:hAnsi="Times New Roman" w:cs="Times New Roman"/>
        </w:rPr>
      </w:pPr>
      <w:r>
        <w:rPr>
          <w:rFonts w:hint="default" w:ascii="Times New Roman" w:hAnsi="Times New Roman" w:cs="Times New Roman"/>
        </w:rPr>
        <w:t>企业生产过程中的电池拆解、焙烧、破碎、分选工序，以及湿法工艺浸出、分离、提纯和化合物制备工序废气有组织排放应满足GB 16297、GB 30484、GB 9078和GB 31573的规定；废气无组织排放应满足GB 30484的规定。</w:t>
      </w:r>
    </w:p>
    <w:p w14:paraId="725DB731">
      <w:pPr>
        <w:pStyle w:val="165"/>
      </w:pPr>
      <w:r>
        <w:rPr>
          <w:rFonts w:hint="default" w:ascii="Times New Roman" w:hAnsi="Times New Roman" w:cs="Times New Roman"/>
        </w:rPr>
        <w:t>企业生产过程中的电池焙烧工序产生的二噁英类排放限值</w:t>
      </w:r>
      <w:r>
        <w:rPr>
          <w:rFonts w:hint="eastAsia" w:ascii="Times New Roman" w:cs="Times New Roman"/>
          <w:lang w:val="en-US" w:eastAsia="zh-CN"/>
        </w:rPr>
        <w:t>应满足</w:t>
      </w:r>
      <w:r>
        <w:rPr>
          <w:rFonts w:hint="default" w:ascii="Times New Roman" w:hAnsi="Times New Roman" w:cs="Times New Roman"/>
        </w:rPr>
        <w:t>GB 18484的规定。</w:t>
      </w:r>
    </w:p>
    <w:p w14:paraId="6B2AF861">
      <w:pPr>
        <w:pStyle w:val="162"/>
        <w:rPr>
          <w:rFonts w:ascii="黑体" w:hAnsi="黑体" w:eastAsia="黑体"/>
        </w:rPr>
      </w:pPr>
      <w:r>
        <w:rPr>
          <w:rFonts w:hint="eastAsia" w:ascii="黑体" w:hAnsi="黑体" w:eastAsia="黑体"/>
        </w:rPr>
        <w:t>废水控制要求</w:t>
      </w:r>
    </w:p>
    <w:p w14:paraId="5F0ED250">
      <w:pPr>
        <w:pStyle w:val="165"/>
        <w:rPr>
          <w:rFonts w:hint="default" w:ascii="Times New Roman" w:hAnsi="Times New Roman" w:cs="Times New Roman"/>
        </w:rPr>
      </w:pPr>
      <w:r>
        <w:rPr>
          <w:rFonts w:hint="default" w:ascii="Times New Roman" w:hAnsi="Times New Roman" w:cs="Times New Roman"/>
        </w:rPr>
        <w:t>企业应建有废水收集处理设施</w:t>
      </w:r>
      <w:r>
        <w:rPr>
          <w:rFonts w:hint="eastAsia" w:ascii="Times New Roman" w:cs="Times New Roman"/>
          <w:lang w:val="en-US" w:eastAsia="zh-CN"/>
        </w:rPr>
        <w:t>和雨水收集处理设施</w:t>
      </w:r>
      <w:r>
        <w:rPr>
          <w:rFonts w:hint="default" w:ascii="Times New Roman" w:hAnsi="Times New Roman" w:cs="Times New Roman"/>
        </w:rPr>
        <w:t>，用于收集处理生产废水和初期雨水等。</w:t>
      </w:r>
    </w:p>
    <w:p w14:paraId="280CABD7">
      <w:pPr>
        <w:pStyle w:val="165"/>
        <w:rPr>
          <w:rFonts w:ascii="黑体" w:hAnsi="黑体" w:eastAsia="黑体"/>
        </w:rPr>
      </w:pPr>
      <w:r>
        <w:rPr>
          <w:rFonts w:hint="default" w:ascii="Times New Roman" w:hAnsi="Times New Roman" w:cs="Times New Roman"/>
        </w:rPr>
        <w:t>废水总排放口、车间或生产设施废水排放口的污染物排放浓度，按照GB 30484和GB 8978的要求执行。监测因子包括pH值、化学需氧量、五日生化需氧量、悬浮物、氨氮、氟化物等。</w:t>
      </w:r>
    </w:p>
    <w:p w14:paraId="1F0275C1">
      <w:pPr>
        <w:pStyle w:val="165"/>
        <w:rPr>
          <w:rFonts w:hint="default" w:ascii="Times New Roman" w:hAnsi="Times New Roman" w:cs="Times New Roman"/>
        </w:rPr>
      </w:pPr>
      <w:r>
        <w:rPr>
          <w:rFonts w:hint="eastAsia" w:ascii="Times New Roman" w:hAnsi="Times New Roman" w:cs="Times New Roman"/>
        </w:rPr>
        <w:t>车间生产废水不应与其他废水直接混合处理，应雨污分离</w:t>
      </w:r>
      <w:r>
        <w:rPr>
          <w:rFonts w:hint="eastAsia" w:ascii="Times New Roman" w:hAnsi="Times New Roman" w:cs="Times New Roman"/>
          <w:lang w:eastAsia="zh-CN"/>
        </w:rPr>
        <w:t>。</w:t>
      </w:r>
    </w:p>
    <w:p w14:paraId="4ACCDF2E">
      <w:pPr>
        <w:pStyle w:val="162"/>
        <w:rPr>
          <w:rFonts w:ascii="黑体" w:hAnsi="黑体" w:eastAsia="黑体"/>
        </w:rPr>
      </w:pPr>
      <w:r>
        <w:rPr>
          <w:rFonts w:hint="eastAsia" w:ascii="黑体" w:hAnsi="黑体" w:eastAsia="黑体" w:cs="Times New Roman"/>
          <w:sz w:val="21"/>
          <w:lang w:val="en-US" w:eastAsia="zh-CN" w:bidi="ar-SA"/>
        </w:rPr>
        <w:t>固体</w:t>
      </w:r>
      <w:r>
        <w:rPr>
          <w:rFonts w:hint="eastAsia" w:ascii="黑体" w:hAnsi="黑体" w:eastAsia="黑体"/>
        </w:rPr>
        <w:t>废物和噪声控制要求</w:t>
      </w:r>
    </w:p>
    <w:p w14:paraId="4CFA96E9">
      <w:pPr>
        <w:pStyle w:val="165"/>
        <w:rPr>
          <w:rFonts w:hint="default" w:ascii="Times New Roman" w:hAnsi="Times New Roman" w:cs="Times New Roman"/>
        </w:rPr>
      </w:pPr>
      <w:r>
        <w:rPr>
          <w:rFonts w:hint="default" w:ascii="Times New Roman" w:hAnsi="Times New Roman" w:cs="Times New Roman"/>
        </w:rPr>
        <w:t>企业产生的固体废物包含废</w:t>
      </w:r>
      <w:r>
        <w:rPr>
          <w:rFonts w:hint="eastAsia" w:ascii="Times New Roman" w:cs="Times New Roman"/>
          <w:lang w:val="en-US" w:eastAsia="zh-CN"/>
        </w:rPr>
        <w:t>电极片</w:t>
      </w:r>
      <w:r>
        <w:rPr>
          <w:rFonts w:hint="default" w:ascii="Times New Roman" w:hAnsi="Times New Roman" w:cs="Times New Roman"/>
        </w:rPr>
        <w:t>、废塑料</w:t>
      </w:r>
      <w:r>
        <w:rPr>
          <w:rFonts w:hint="default" w:ascii="Times New Roman" w:hAnsi="Times New Roman" w:cs="Times New Roman"/>
          <w:highlight w:val="none"/>
        </w:rPr>
        <w:t>、废金属、废活性炭、废气净化灰渣等，应分类收集、贮存、利用、处置，严格按照GB 18597和GB 185</w:t>
      </w:r>
      <w:r>
        <w:rPr>
          <w:rFonts w:hint="default" w:ascii="Times New Roman" w:hAnsi="Times New Roman" w:cs="Times New Roman"/>
        </w:rPr>
        <w:t>99要求管理</w:t>
      </w:r>
      <w:r>
        <w:rPr>
          <w:rFonts w:hint="eastAsia" w:ascii="Times New Roman" w:cs="Times New Roman"/>
          <w:lang w:eastAsia="zh-CN"/>
        </w:rPr>
        <w:t>，</w:t>
      </w:r>
      <w:r>
        <w:rPr>
          <w:rFonts w:hint="eastAsia" w:ascii="Times New Roman" w:cs="Times New Roman"/>
          <w:lang w:val="en-US" w:eastAsia="zh-CN"/>
        </w:rPr>
        <w:t>危险废物交由有资质的单位处置</w:t>
      </w:r>
      <w:r>
        <w:rPr>
          <w:rFonts w:hint="default" w:ascii="Times New Roman" w:hAnsi="Times New Roman" w:cs="Times New Roman"/>
        </w:rPr>
        <w:t>。</w:t>
      </w:r>
    </w:p>
    <w:p w14:paraId="6A3B08A5">
      <w:pPr>
        <w:pStyle w:val="165"/>
        <w:rPr>
          <w:rFonts w:ascii="Times New Roman"/>
        </w:rPr>
      </w:pPr>
      <w:r>
        <w:rPr>
          <w:rFonts w:hint="default" w:ascii="Times New Roman" w:hAnsi="Times New Roman" w:eastAsia="宋体" w:cs="Times New Roman"/>
        </w:rPr>
        <w:t>破碎机</w:t>
      </w:r>
      <w:r>
        <w:rPr>
          <w:rFonts w:hint="default" w:ascii="Times New Roman" w:hAnsi="Times New Roman" w:cs="Times New Roman"/>
        </w:rPr>
        <w:t>、泵、风机等设备是产生噪声的主要来源，应采取基础减振和消声及隔声措施。厂界噪声应符合GB 12348的要求。</w:t>
      </w:r>
    </w:p>
    <w:p w14:paraId="530B9D09">
      <w:pPr>
        <w:pStyle w:val="104"/>
        <w:spacing w:before="312" w:after="312"/>
        <w:rPr>
          <w:rFonts w:hint="eastAsia" w:ascii="黑体" w:hAnsi="黑体" w:eastAsia="黑体" w:cs="Times New Roman"/>
          <w:lang w:eastAsia="zh-CN"/>
        </w:rPr>
      </w:pPr>
      <w:bookmarkStart w:id="54" w:name="_Toc16445"/>
      <w:r>
        <w:rPr>
          <w:rFonts w:hint="eastAsia" w:ascii="黑体" w:hAnsi="黑体" w:eastAsia="黑体" w:cs="Times New Roman"/>
          <w:lang w:val="en-US" w:eastAsia="zh-CN"/>
        </w:rPr>
        <w:t>指标要求</w:t>
      </w:r>
      <w:bookmarkEnd w:id="54"/>
    </w:p>
    <w:p w14:paraId="4C8BEE32">
      <w:pPr>
        <w:pStyle w:val="162"/>
        <w:rPr>
          <w:rFonts w:hint="default" w:ascii="Times New Roman" w:hAnsi="Times New Roman" w:eastAsia="宋体" w:cs="Times New Roman"/>
        </w:rPr>
      </w:pPr>
      <w:r>
        <w:rPr>
          <w:rFonts w:hint="default" w:ascii="Times New Roman" w:hAnsi="Times New Roman" w:eastAsia="宋体" w:cs="Times New Roman"/>
        </w:rPr>
        <w:t>企业清洁生产指标包含产品指标、资源利用指标、综合能耗指标和综合电耗指标。</w:t>
      </w:r>
    </w:p>
    <w:p w14:paraId="26854706">
      <w:pPr>
        <w:pStyle w:val="162"/>
        <w:rPr>
          <w:rFonts w:hint="default" w:ascii="Times New Roman" w:hAnsi="Times New Roman" w:cs="Times New Roman"/>
        </w:rPr>
      </w:pPr>
      <w:r>
        <w:rPr>
          <w:rFonts w:hint="default" w:ascii="Times New Roman" w:hAnsi="Times New Roman" w:eastAsia="宋体" w:cs="Times New Roman"/>
        </w:rPr>
        <w:t>相关指标的计算方法</w:t>
      </w:r>
    </w:p>
    <w:p w14:paraId="31014904">
      <w:pPr>
        <w:pStyle w:val="165"/>
        <w:rPr>
          <w:rFonts w:hint="default" w:ascii="Times New Roman" w:hAnsi="Times New Roman" w:cs="Times New Roman"/>
        </w:rPr>
      </w:pPr>
      <w:r>
        <w:rPr>
          <w:rFonts w:hint="default" w:ascii="Times New Roman" w:hAnsi="Times New Roman" w:cs="Times New Roman"/>
        </w:rPr>
        <w:t>拆解、焙烧、破碎分选阶段</w:t>
      </w:r>
      <w:r>
        <w:rPr>
          <w:rFonts w:hint="eastAsia" w:ascii="Times New Roman" w:cs="Times New Roman"/>
          <w:lang w:val="en-US" w:eastAsia="zh-CN"/>
        </w:rPr>
        <w:t>有价</w:t>
      </w:r>
      <w:r>
        <w:rPr>
          <w:rFonts w:hint="default" w:ascii="Times New Roman" w:hAnsi="Times New Roman" w:cs="Times New Roman"/>
        </w:rPr>
        <w:t>元素回收率计算</w:t>
      </w:r>
    </w:p>
    <w:p w14:paraId="23395300">
      <w:pPr>
        <w:pStyle w:val="56"/>
        <w:ind w:firstLine="420"/>
        <w:rPr>
          <w:rFonts w:hint="default" w:ascii="Times New Roman" w:hAnsi="Times New Roman" w:eastAsia="宋体" w:cs="Times New Roman"/>
        </w:rPr>
      </w:pPr>
      <w:r>
        <w:rPr>
          <w:rFonts w:hint="default" w:ascii="Times New Roman" w:hAnsi="Times New Roman" w:eastAsia="宋体" w:cs="Times New Roman"/>
        </w:rPr>
        <w:t>拆解、焙烧、破碎分选阶段镍、钴、锰、锂、铁、磷元素的回收率按公式（1）计算 ：</w:t>
      </w:r>
    </w:p>
    <w:p w14:paraId="2DC2D37F">
      <w:pPr>
        <w:pStyle w:val="56"/>
        <w:ind w:left="0" w:leftChars="0" w:firstLine="0" w:firstLineChars="0"/>
        <w:jc w:val="right"/>
        <w:rPr>
          <w:rFonts w:hint="default" w:ascii="Times New Roman" w:hAnsi="Times New Roman" w:eastAsia="宋体" w:cs="Times New Roman"/>
        </w:rPr>
      </w:pPr>
      <m:oMath>
        <m:sSub>
          <m:sSubPr>
            <m:ctrlPr>
              <w:rPr>
                <w:rFonts w:hint="default" w:ascii="Cambria Math" w:hAnsi="Cambria Math" w:cs="Times New Roman"/>
                <w:i/>
                <w:sz w:val="24"/>
                <w:szCs w:val="24"/>
              </w:rPr>
            </m:ctrlPr>
          </m:sSubPr>
          <m:e>
            <m:r>
              <m:rPr/>
              <w:rPr>
                <w:rFonts w:hint="default" w:ascii="Cambria Math" w:hAnsi="Cambria Math" w:cs="Times New Roman"/>
                <w:sz w:val="24"/>
                <w:szCs w:val="24"/>
              </w:rPr>
              <m:t>φ</m:t>
            </m:r>
            <m:ctrlPr>
              <w:rPr>
                <w:rFonts w:hint="default" w:ascii="Cambria Math" w:hAnsi="Cambria Math" w:cs="Times New Roman"/>
                <w:i/>
                <w:sz w:val="24"/>
                <w:szCs w:val="24"/>
              </w:rPr>
            </m:ctrlPr>
          </m:e>
          <m:sub>
            <m:r>
              <m:rPr/>
              <w:rPr>
                <w:rFonts w:hint="default" w:ascii="Cambria Math" w:hAnsi="Cambria Math" w:cs="Times New Roman"/>
                <w:sz w:val="24"/>
                <w:szCs w:val="24"/>
                <w:lang w:val="en-US" w:eastAsia="zh-CN"/>
              </w:rPr>
              <m:t>i</m:t>
            </m:r>
            <m:ctrlPr>
              <w:rPr>
                <w:rFonts w:hint="default" w:ascii="Cambria Math" w:hAnsi="Cambria Math" w:cs="Times New Roman"/>
                <w:i/>
                <w:sz w:val="24"/>
                <w:szCs w:val="24"/>
              </w:rPr>
            </m:ctrlPr>
          </m:sub>
        </m:sSub>
        <m:r>
          <m:rPr/>
          <w:rPr>
            <w:rFonts w:hint="default" w:ascii="Cambria Math" w:hAnsi="Cambria Math" w:cs="Times New Roman"/>
            <w:sz w:val="24"/>
            <w:szCs w:val="24"/>
            <w:lang w:val="en-US" w:eastAsia="zh-CN"/>
          </w:rPr>
          <m:t>=</m:t>
        </m:r>
        <m:f>
          <m:fPr>
            <m:ctrlPr>
              <w:rPr>
                <w:rFonts w:hint="default" w:ascii="Cambria Math" w:hAnsi="Cambria Math" w:cs="Times New Roman"/>
                <w:i/>
                <w:sz w:val="24"/>
                <w:szCs w:val="24"/>
                <w:lang w:val="en-US" w:eastAsia="zh-CN"/>
              </w:rPr>
            </m:ctrlPr>
          </m:fPr>
          <m:num>
            <m:sSub>
              <m:sSubPr>
                <m:ctrl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m</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i</m:t>
                </m:r>
                <m:ctrlPr>
                  <w:rPr>
                    <w:rFonts w:hint="default" w:ascii="Cambria Math" w:hAnsi="Cambria Math" w:cs="Times New Roman"/>
                    <w:i/>
                    <w:sz w:val="24"/>
                    <w:szCs w:val="24"/>
                    <w:lang w:val="en-US" w:eastAsia="zh-CN"/>
                  </w:rPr>
                </m:ctrlPr>
              </m:sub>
            </m:sSub>
            <m:r>
              <m:rPr/>
              <w:rPr>
                <w:rFonts w:hint="default" w:ascii="Cambria Math" w:hAnsi="Cambria Math" w:cs="Times New Roman"/>
                <w:sz w:val="24"/>
                <w:szCs w:val="24"/>
                <w:lang w:val="en-US"/>
              </w:rPr>
              <m:t>×</m:t>
            </m:r>
            <m:sSub>
              <m:sSubPr>
                <m:ctrlPr>
                  <w:rPr>
                    <w:rFonts w:hint="default" w:ascii="Cambria Math" w:hAnsi="Cambria Math" w:cs="Times New Roman"/>
                    <w:i/>
                    <w:sz w:val="24"/>
                    <w:szCs w:val="24"/>
                    <w:lang w:val="en-US"/>
                  </w:rPr>
                </m:ctrlPr>
              </m:sSub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rPr>
                </m:ctrlPr>
              </m:e>
              <m:sub>
                <m:r>
                  <m:rPr/>
                  <w:rPr>
                    <w:rFonts w:hint="default" w:ascii="Cambria Math" w:hAnsi="Cambria Math" w:cs="Times New Roman"/>
                    <w:sz w:val="24"/>
                    <w:szCs w:val="24"/>
                    <w:lang w:val="en-US" w:eastAsia="zh-CN"/>
                  </w:rPr>
                  <m:t>i</m:t>
                </m:r>
                <m:ctrlPr>
                  <w:rPr>
                    <w:rFonts w:hint="default" w:ascii="Cambria Math" w:hAnsi="Cambria Math" w:cs="Times New Roman"/>
                    <w:i/>
                    <w:sz w:val="24"/>
                    <w:szCs w:val="24"/>
                    <w:lang w:val="en-US"/>
                  </w:rPr>
                </m:ctrlPr>
              </m:sub>
            </m:sSub>
            <m:ctrlPr>
              <w:rPr>
                <w:rFonts w:hint="default" w:ascii="Cambria Math" w:hAnsi="Cambria Math" w:cs="Times New Roman"/>
                <w:i/>
                <w:sz w:val="24"/>
                <w:szCs w:val="24"/>
                <w:lang w:val="en-US" w:eastAsia="zh-CN"/>
              </w:rPr>
            </m:ctrlPr>
          </m:num>
          <m:den>
            <m:nary>
              <m:naryPr>
                <m:chr m:val="∑"/>
                <m:limLoc m:val="undOvr"/>
                <m:supHide m:val="1"/>
                <m:ctrlPr>
                  <w:rPr>
                    <w:rFonts w:hint="default" w:ascii="Cambria Math" w:hAnsi="Cambria Math" w:cs="Times New Roman"/>
                    <w:i/>
                    <w:sz w:val="24"/>
                    <w:szCs w:val="24"/>
                    <w:lang w:val="en-US" w:eastAsia="zh-CN"/>
                  </w:rPr>
                </m:ctrlPr>
              </m:naryPr>
              <m:sub>
                <m:r>
                  <m:rPr/>
                  <w:rPr>
                    <w:rFonts w:hint="default" w:ascii="Cambria Math" w:hAnsi="Cambria Math" w:cs="Times New Roman"/>
                    <w:sz w:val="24"/>
                    <w:szCs w:val="24"/>
                    <w:lang w:val="en-US" w:eastAsia="zh-CN"/>
                  </w:rPr>
                  <m:t>n</m:t>
                </m:r>
                <m:ctrlPr>
                  <w:rPr>
                    <w:rFonts w:hint="default" w:ascii="Cambria Math" w:hAnsi="Cambria Math" w:cs="Times New Roman"/>
                    <w:i/>
                    <w:sz w:val="24"/>
                    <w:szCs w:val="24"/>
                    <w:lang w:val="en-US" w:eastAsia="zh-CN"/>
                  </w:rPr>
                </m:ctrlPr>
              </m:sub>
              <m:sup>
                <m:ctrlPr>
                  <w:rPr>
                    <w:rFonts w:hint="default" w:ascii="Cambria Math" w:hAnsi="Cambria Math" w:cs="Times New Roman"/>
                    <w:i/>
                    <w:sz w:val="24"/>
                    <w:szCs w:val="24"/>
                    <w:lang w:val="en-US" w:eastAsia="zh-CN"/>
                  </w:rPr>
                </m:ctrlPr>
              </m:sup>
              <m:e>
                <m:sSub>
                  <m:sSubPr>
                    <m:ctrl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m</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n</m:t>
                    </m:r>
                    <m:ctrlPr>
                      <w:rPr>
                        <w:rFonts w:hint="default" w:ascii="Cambria Math" w:hAnsi="Cambria Math" w:cs="Times New Roman"/>
                        <w:i/>
                        <w:sz w:val="24"/>
                        <w:szCs w:val="24"/>
                        <w:lang w:val="en-US" w:eastAsia="zh-CN"/>
                      </w:rPr>
                    </m:ctrlPr>
                  </m:sub>
                </m:sSub>
                <m:r>
                  <m:rPr/>
                  <w:rPr>
                    <w:rFonts w:hint="default" w:ascii="Cambria Math" w:hAnsi="Cambria Math" w:cs="Times New Roman"/>
                    <w:sz w:val="24"/>
                    <w:szCs w:val="24"/>
                    <w:lang w:val="en-US"/>
                  </w:rPr>
                  <m:t>×</m:t>
                </m:r>
                <m:sSub>
                  <m:sSubPr>
                    <m:ctrlPr>
                      <w:rPr>
                        <w:rFonts w:hint="default" w:ascii="Cambria Math" w:hAnsi="Cambria Math" w:cs="Times New Roman"/>
                        <w:i/>
                        <w:sz w:val="24"/>
                        <w:szCs w:val="24"/>
                        <w:lang w:val="en-US"/>
                      </w:rPr>
                    </m:ctrlPr>
                  </m:sSub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rPr>
                    </m:ctrlPr>
                  </m:e>
                  <m:sub>
                    <m:r>
                      <m:rPr/>
                      <w:rPr>
                        <w:rFonts w:hint="default" w:ascii="Cambria Math" w:hAnsi="Cambria Math" w:cs="Times New Roman"/>
                        <w:sz w:val="24"/>
                        <w:szCs w:val="24"/>
                        <w:lang w:val="en-US" w:eastAsia="zh-CN"/>
                      </w:rPr>
                      <m:t>i−n</m:t>
                    </m:r>
                    <m:ctrlPr>
                      <w:rPr>
                        <w:rFonts w:hint="default" w:ascii="Cambria Math" w:hAnsi="Cambria Math" w:cs="Times New Roman"/>
                        <w:i/>
                        <w:sz w:val="24"/>
                        <w:szCs w:val="24"/>
                        <w:lang w:val="en-US"/>
                      </w:rPr>
                    </m:ctrlPr>
                  </m:sub>
                </m:sSub>
                <m:ctrlPr>
                  <w:rPr>
                    <w:rFonts w:hint="default" w:ascii="Cambria Math" w:hAnsi="Cambria Math" w:cs="Times New Roman"/>
                    <w:i/>
                    <w:sz w:val="24"/>
                    <w:szCs w:val="24"/>
                    <w:lang w:val="en-US" w:eastAsia="zh-CN"/>
                  </w:rPr>
                </m:ctrlPr>
              </m:e>
            </m:nary>
            <m:ctrlPr>
              <w:rPr>
                <w:rFonts w:hint="default" w:ascii="Cambria Math" w:hAnsi="Cambria Math" w:cs="Times New Roman"/>
                <w:i/>
                <w:sz w:val="24"/>
                <w:szCs w:val="24"/>
                <w:lang w:val="en-US" w:eastAsia="zh-CN"/>
              </w:rPr>
            </m:ctrlPr>
          </m:den>
        </m:f>
        <m:r>
          <m:rPr/>
          <w:rPr>
            <w:rFonts w:hint="default" w:ascii="Cambria Math" w:hAnsi="Cambria Math" w:cs="Times New Roman"/>
            <w:sz w:val="24"/>
            <w:szCs w:val="24"/>
            <w:lang w:val="en-US"/>
          </w:rPr>
          <m:t>×</m:t>
        </m:r>
        <m:r>
          <m:rPr/>
          <w:rPr>
            <w:rFonts w:hint="default" w:ascii="Cambria Math" w:hAnsi="Cambria Math" w:cs="Times New Roman"/>
            <w:sz w:val="24"/>
            <w:szCs w:val="24"/>
            <w:lang w:val="en-US" w:eastAsia="zh-CN"/>
          </w:rPr>
          <m:t>100%</m:t>
        </m:r>
      </m:oMath>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（1）</w:t>
      </w:r>
    </w:p>
    <w:p w14:paraId="23B51700">
      <w:pPr>
        <w:pStyle w:val="56"/>
        <w:ind w:firstLine="420"/>
        <w:rPr>
          <w:rFonts w:hint="default" w:ascii="Times New Roman" w:hAnsi="Times New Roman" w:eastAsia="宋体" w:cs="Times New Roman"/>
        </w:rPr>
      </w:pPr>
      <w:r>
        <w:rPr>
          <w:rFonts w:hint="default" w:ascii="Times New Roman" w:hAnsi="Times New Roman" w:eastAsia="宋体" w:cs="Times New Roman"/>
        </w:rPr>
        <w:t>式中：</w:t>
      </w:r>
    </w:p>
    <w:p w14:paraId="6184DBF4">
      <w:pPr>
        <w:pStyle w:val="56"/>
        <w:ind w:firstLine="420"/>
        <w:rPr>
          <w:rFonts w:hint="default" w:ascii="Times New Roman" w:hAnsi="Times New Roman" w:eastAsia="宋体" w:cs="Times New Roman"/>
          <w:highlight w:val="none"/>
        </w:rPr>
      </w:pPr>
      <m:oMath>
        <m:sSub>
          <m:sSubPr>
            <m:ctrlPr>
              <w:rPr>
                <w:rFonts w:hint="default" w:ascii="Cambria Math" w:hAnsi="Cambria Math" w:cs="Times New Roman"/>
                <w:i/>
                <w:sz w:val="21"/>
                <w:szCs w:val="24"/>
              </w:rPr>
            </m:ctrlPr>
          </m:sSubPr>
          <m:e>
            <m:r>
              <m:rPr/>
              <w:rPr>
                <w:rFonts w:hint="default" w:ascii="Cambria Math" w:hAnsi="Cambria Math" w:cs="Times New Roman"/>
                <w:sz w:val="21"/>
                <w:szCs w:val="21"/>
              </w:rPr>
              <m:t>φ</m:t>
            </m:r>
            <m:ctrlPr>
              <w:rPr>
                <w:rFonts w:hint="default" w:ascii="Cambria Math" w:hAnsi="Cambria Math" w:cs="Times New Roman"/>
                <w:i/>
                <w:sz w:val="21"/>
                <w:szCs w:val="24"/>
              </w:rPr>
            </m:ctrlPr>
          </m:e>
          <m:sub>
            <m:r>
              <m:rPr/>
              <w:rPr>
                <w:rFonts w:hint="default" w:ascii="Cambria Math" w:hAnsi="Cambria Math" w:cs="Times New Roman"/>
                <w:sz w:val="21"/>
                <w:szCs w:val="24"/>
                <w:lang w:val="en-US" w:eastAsia="zh-CN"/>
              </w:rPr>
              <m:t>i</m:t>
            </m:r>
            <m:ctrlPr>
              <w:rPr>
                <w:rFonts w:hint="default" w:ascii="Cambria Math" w:hAnsi="Cambria Math" w:cs="Times New Roman"/>
                <w:i/>
                <w:sz w:val="21"/>
                <w:szCs w:val="24"/>
              </w:rPr>
            </m:ctrlPr>
          </m:sub>
        </m:sSub>
      </m:oMath>
      <w:r>
        <w:rPr>
          <w:rFonts w:hint="default" w:ascii="Times New Roman" w:hAnsi="Times New Roman" w:cs="Times New Roman"/>
          <w:i w:val="0"/>
          <w:sz w:val="24"/>
          <w:szCs w:val="24"/>
          <w:lang w:val="en-US" w:eastAsia="zh-CN"/>
        </w:rPr>
        <w:t xml:space="preserve"> </w:t>
      </w:r>
      <w:r>
        <w:rPr>
          <w:rFonts w:hint="default" w:ascii="Times New Roman" w:hAnsi="Times New Roman" w:eastAsia="宋体" w:cs="Times New Roman"/>
        </w:rPr>
        <w:t xml:space="preserve">—— </w:t>
      </w:r>
      <w:r>
        <w:rPr>
          <w:rFonts w:hint="default" w:ascii="Times New Roman" w:hAnsi="Times New Roman" w:eastAsia="宋体" w:cs="Times New Roman"/>
          <w:lang w:val="en-US" w:eastAsia="zh-CN"/>
        </w:rPr>
        <w:t>破碎</w:t>
      </w:r>
      <w:r>
        <w:rPr>
          <w:rFonts w:hint="default" w:ascii="Times New Roman" w:hAnsi="Times New Roman" w:eastAsia="宋体" w:cs="Times New Roman"/>
        </w:rPr>
        <w:t>分选阶段</w:t>
      </w:r>
      <w:r>
        <w:rPr>
          <w:rFonts w:hint="default" w:ascii="Times New Roman" w:hAnsi="Times New Roman" w:eastAsia="宋体" w:cs="Times New Roman"/>
          <w:b w:val="0"/>
          <w:bCs w:val="0"/>
          <w:i/>
          <w:iCs/>
          <w:color w:val="auto"/>
          <w:sz w:val="21"/>
          <w:szCs w:val="21"/>
          <w:lang w:val="en-US" w:eastAsia="zh-CN"/>
        </w:rPr>
        <w:t>i</w:t>
      </w:r>
      <w:r>
        <w:rPr>
          <w:rFonts w:hint="default" w:ascii="Times New Roman" w:hAnsi="Times New Roman" w:eastAsia="宋体" w:cs="Times New Roman"/>
        </w:rPr>
        <w:t>（镍、钴</w:t>
      </w:r>
      <w:r>
        <w:rPr>
          <w:rFonts w:hint="default" w:ascii="Times New Roman" w:hAnsi="Times New Roman" w:eastAsia="宋体" w:cs="Times New Roman"/>
          <w:highlight w:val="none"/>
        </w:rPr>
        <w:t>、锰、锂、铁、磷）元素的回收率；</w:t>
      </w:r>
    </w:p>
    <w:p w14:paraId="02038DA3">
      <w:pPr>
        <w:pStyle w:val="56"/>
        <w:ind w:firstLine="420"/>
        <w:rPr>
          <w:rFonts w:hint="default" w:ascii="Times New Roman" w:hAnsi="Times New Roman" w:eastAsia="宋体" w:cs="Times New Roman"/>
          <w:highlight w:val="none"/>
        </w:rPr>
      </w:pPr>
      <w:r>
        <w:rPr>
          <w:rFonts w:hint="default" w:ascii="Times New Roman" w:hAnsi="Times New Roman" w:eastAsia="宋体" w:cs="Times New Roman"/>
          <w:i/>
          <w:iCs/>
          <w:color w:val="auto"/>
          <w:sz w:val="21"/>
          <w:szCs w:val="21"/>
          <w:highlight w:val="none"/>
          <w:lang w:val="en-US" w:eastAsia="zh-CN"/>
        </w:rPr>
        <w:t>m</w:t>
      </w:r>
      <w:r>
        <w:rPr>
          <w:rFonts w:hint="default" w:ascii="Times New Roman" w:hAnsi="Times New Roman" w:eastAsia="宋体" w:cs="Times New Roman"/>
          <w:i/>
          <w:iCs/>
          <w:color w:val="auto"/>
          <w:sz w:val="21"/>
          <w:szCs w:val="21"/>
          <w:highlight w:val="none"/>
          <w:vertAlign w:val="subscript"/>
          <w:lang w:val="en-US" w:eastAsia="zh-CN"/>
        </w:rPr>
        <w:t>i</w:t>
      </w:r>
      <w:r>
        <w:rPr>
          <w:rFonts w:hint="default" w:ascii="Times New Roman" w:hAnsi="Times New Roman" w:eastAsia="宋体" w:cs="Times New Roman"/>
          <w:highlight w:val="none"/>
        </w:rPr>
        <w:t xml:space="preserve"> —— 计</w:t>
      </w:r>
      <w:r>
        <w:rPr>
          <w:rFonts w:hint="default" w:ascii="Times New Roman" w:hAnsi="Times New Roman" w:eastAsia="宋体" w:cs="Times New Roman"/>
          <w:highlight w:val="none"/>
          <w:lang w:val="en-US" w:eastAsia="zh-CN"/>
        </w:rPr>
        <w:t>算时间段</w:t>
      </w:r>
      <w:r>
        <w:rPr>
          <w:rFonts w:hint="default" w:ascii="Times New Roman" w:hAnsi="Times New Roman" w:eastAsia="宋体" w:cs="Times New Roman"/>
          <w:highlight w:val="none"/>
        </w:rPr>
        <w:t>内，破碎分选阶段产出</w:t>
      </w:r>
      <w:r>
        <w:rPr>
          <w:rFonts w:hint="default" w:ascii="Times New Roman" w:hAnsi="Times New Roman" w:eastAsia="宋体" w:cs="Times New Roman"/>
          <w:b w:val="0"/>
          <w:bCs w:val="0"/>
          <w:i/>
          <w:iCs/>
          <w:color w:val="auto"/>
          <w:sz w:val="21"/>
          <w:szCs w:val="21"/>
          <w:highlight w:val="none"/>
          <w:lang w:val="en-US" w:eastAsia="zh-CN"/>
        </w:rPr>
        <w:t>i</w:t>
      </w:r>
      <w:r>
        <w:rPr>
          <w:rFonts w:hint="default" w:ascii="Times New Roman" w:hAnsi="Times New Roman" w:eastAsia="宋体" w:cs="Times New Roman"/>
          <w:highlight w:val="none"/>
        </w:rPr>
        <w:t>元素分离产物的质量，单位为</w:t>
      </w:r>
      <w:r>
        <w:rPr>
          <w:rFonts w:hint="eastAsia" w:ascii="Times New Roman" w:hAnsi="Times New Roman" w:cs="Times New Roman"/>
          <w:highlight w:val="none"/>
          <w:lang w:val="en-US" w:eastAsia="zh-CN"/>
        </w:rPr>
        <w:t>千克(</w:t>
      </w:r>
      <w:r>
        <w:rPr>
          <w:rFonts w:hint="default" w:ascii="Times New Roman" w:hAnsi="Times New Roman" w:eastAsia="宋体" w:cs="Times New Roman"/>
          <w:highlight w:val="none"/>
        </w:rPr>
        <w:t>kg</w:t>
      </w:r>
      <w:r>
        <w:rPr>
          <w:rFonts w:hint="eastAsia" w:ascii="Times New Roman" w:hAnsi="Times New Roman" w:cs="Times New Roman"/>
          <w:highlight w:val="none"/>
          <w:lang w:val="en-US" w:eastAsia="zh-CN"/>
        </w:rPr>
        <w:t>)</w:t>
      </w:r>
      <w:r>
        <w:rPr>
          <w:rFonts w:hint="default" w:ascii="Times New Roman" w:hAnsi="Times New Roman" w:eastAsia="宋体" w:cs="Times New Roman"/>
          <w:highlight w:val="none"/>
        </w:rPr>
        <w:t>；</w:t>
      </w:r>
    </w:p>
    <w:p w14:paraId="530FBDED">
      <w:pPr>
        <w:pStyle w:val="56"/>
        <w:ind w:firstLine="420"/>
        <w:rPr>
          <w:rFonts w:hint="default" w:ascii="Times New Roman" w:hAnsi="Times New Roman" w:eastAsia="宋体" w:cs="Times New Roman"/>
          <w:highlight w:val="none"/>
        </w:rPr>
      </w:pPr>
      <w:r>
        <w:rPr>
          <w:rFonts w:hint="default" w:ascii="Times New Roman" w:hAnsi="Times New Roman" w:cs="Times New Roman" w:eastAsiaTheme="minorEastAsia"/>
          <w:b w:val="0"/>
          <w:bCs w:val="0"/>
          <w:i/>
          <w:iCs/>
          <w:color w:val="auto"/>
          <w:sz w:val="21"/>
          <w:szCs w:val="21"/>
          <w:highlight w:val="none"/>
          <w:lang w:val="en-US" w:eastAsia="zh-CN"/>
        </w:rPr>
        <w:t>x</w:t>
      </w:r>
      <w:r>
        <w:rPr>
          <w:rFonts w:hint="default" w:ascii="Times New Roman" w:hAnsi="Times New Roman" w:eastAsia="宋体" w:cs="Times New Roman"/>
          <w:b w:val="0"/>
          <w:bCs w:val="0"/>
          <w:i/>
          <w:iCs/>
          <w:color w:val="auto"/>
          <w:sz w:val="21"/>
          <w:szCs w:val="21"/>
          <w:highlight w:val="none"/>
          <w:vertAlign w:val="subscript"/>
          <w:lang w:val="en-US" w:eastAsia="zh-CN"/>
        </w:rPr>
        <w:t>i</w:t>
      </w:r>
      <w:r>
        <w:rPr>
          <w:rFonts w:hint="default" w:ascii="Times New Roman" w:hAnsi="Times New Roman" w:eastAsia="宋体" w:cs="Times New Roman"/>
          <w:highlight w:val="none"/>
        </w:rPr>
        <w:t xml:space="preserve"> —— </w:t>
      </w:r>
      <w:r>
        <w:rPr>
          <w:rFonts w:hint="default" w:ascii="Times New Roman" w:hAnsi="Times New Roman" w:eastAsia="宋体" w:cs="Times New Roman"/>
          <w:b w:val="0"/>
          <w:bCs w:val="0"/>
          <w:i/>
          <w:iCs/>
          <w:color w:val="auto"/>
          <w:sz w:val="21"/>
          <w:szCs w:val="21"/>
          <w:highlight w:val="none"/>
          <w:lang w:val="en-US" w:eastAsia="zh-CN"/>
        </w:rPr>
        <w:t>i</w:t>
      </w:r>
      <w:r>
        <w:rPr>
          <w:rFonts w:hint="default" w:ascii="Times New Roman" w:hAnsi="Times New Roman" w:eastAsia="宋体" w:cs="Times New Roman"/>
          <w:highlight w:val="none"/>
        </w:rPr>
        <w:t>元素分离产物中</w:t>
      </w:r>
      <w:r>
        <w:rPr>
          <w:rFonts w:hint="default" w:ascii="Times New Roman" w:hAnsi="Times New Roman" w:eastAsia="宋体" w:cs="Times New Roman"/>
          <w:b w:val="0"/>
          <w:bCs w:val="0"/>
          <w:i/>
          <w:iCs/>
          <w:color w:val="auto"/>
          <w:sz w:val="21"/>
          <w:szCs w:val="21"/>
          <w:highlight w:val="none"/>
          <w:lang w:val="en-US" w:eastAsia="zh-CN"/>
        </w:rPr>
        <w:t>i</w:t>
      </w:r>
      <w:r>
        <w:rPr>
          <w:rFonts w:hint="default" w:ascii="Times New Roman" w:hAnsi="Times New Roman" w:eastAsia="宋体" w:cs="Times New Roman"/>
          <w:highlight w:val="none"/>
        </w:rPr>
        <w:t>元素的含量；</w:t>
      </w:r>
    </w:p>
    <w:p w14:paraId="4843C3DB">
      <w:pPr>
        <w:pStyle w:val="56"/>
        <w:ind w:firstLine="420"/>
        <w:rPr>
          <w:rFonts w:hint="default" w:ascii="Times New Roman" w:hAnsi="Times New Roman" w:eastAsia="宋体" w:cs="Times New Roman"/>
          <w:highlight w:val="none"/>
        </w:rPr>
      </w:pPr>
      <w:r>
        <w:rPr>
          <w:rFonts w:hint="default" w:ascii="Times New Roman" w:hAnsi="Times New Roman" w:eastAsia="宋体" w:cs="Times New Roman"/>
          <w:i/>
          <w:iCs/>
          <w:color w:val="auto"/>
          <w:sz w:val="21"/>
          <w:szCs w:val="21"/>
          <w:highlight w:val="none"/>
        </w:rPr>
        <w:t>m</w:t>
      </w:r>
      <w:r>
        <w:rPr>
          <w:rFonts w:hint="default" w:ascii="Times New Roman" w:hAnsi="Times New Roman" w:eastAsia="宋体" w:cs="Times New Roman"/>
          <w:i/>
          <w:iCs/>
          <w:color w:val="auto"/>
          <w:sz w:val="21"/>
          <w:szCs w:val="21"/>
          <w:highlight w:val="none"/>
          <w:vertAlign w:val="subscript"/>
          <w:lang w:val="en-US" w:eastAsia="zh-CN"/>
        </w:rPr>
        <w:t>n</w:t>
      </w:r>
      <w:r>
        <w:rPr>
          <w:rFonts w:hint="default" w:ascii="Times New Roman" w:hAnsi="Times New Roman" w:eastAsia="宋体" w:cs="Times New Roman"/>
          <w:i/>
          <w:iCs/>
          <w:color w:val="auto"/>
          <w:sz w:val="21"/>
          <w:szCs w:val="21"/>
          <w:highlight w:val="none"/>
          <w:vertAlign w:val="baseline"/>
          <w:lang w:val="en-US" w:eastAsia="zh-CN"/>
        </w:rPr>
        <w:t xml:space="preserve"> </w:t>
      </w:r>
      <w:r>
        <w:rPr>
          <w:rFonts w:hint="default" w:ascii="Times New Roman" w:hAnsi="Times New Roman" w:eastAsia="宋体" w:cs="Times New Roman"/>
          <w:highlight w:val="none"/>
        </w:rPr>
        <w:t>—— 计算时间段内，破碎分选阶段产出某种分离产物</w:t>
      </w:r>
      <w:r>
        <w:rPr>
          <w:rFonts w:hint="default" w:ascii="Times New Roman" w:hAnsi="Times New Roman" w:eastAsia="宋体" w:cs="Times New Roman"/>
          <w:i/>
          <w:iCs/>
          <w:color w:val="auto"/>
          <w:sz w:val="21"/>
          <w:szCs w:val="21"/>
          <w:highlight w:val="none"/>
          <w:lang w:val="en-US" w:eastAsia="zh-CN"/>
        </w:rPr>
        <w:t>n</w:t>
      </w:r>
      <w:r>
        <w:rPr>
          <w:rFonts w:hint="default" w:ascii="Times New Roman" w:hAnsi="Times New Roman" w:eastAsia="宋体" w:cs="Times New Roman"/>
          <w:highlight w:val="none"/>
        </w:rPr>
        <w:t>（铁、镍碎片/粉、正负极混合料）的质量，单位为</w:t>
      </w:r>
      <w:r>
        <w:rPr>
          <w:rFonts w:hint="eastAsia" w:ascii="Times New Roman" w:hAnsi="Times New Roman" w:cs="Times New Roman"/>
          <w:highlight w:val="none"/>
          <w:lang w:val="en-US" w:eastAsia="zh-CN"/>
        </w:rPr>
        <w:t>千克(</w:t>
      </w:r>
      <w:r>
        <w:rPr>
          <w:rFonts w:hint="default" w:ascii="Times New Roman" w:hAnsi="Times New Roman" w:eastAsia="宋体" w:cs="Times New Roman"/>
          <w:highlight w:val="none"/>
        </w:rPr>
        <w:t>kg</w:t>
      </w:r>
      <w:r>
        <w:rPr>
          <w:rFonts w:hint="eastAsia" w:ascii="Times New Roman" w:hAnsi="Times New Roman" w:cs="Times New Roman"/>
          <w:highlight w:val="none"/>
          <w:lang w:val="en-US" w:eastAsia="zh-CN"/>
        </w:rPr>
        <w:t>)</w:t>
      </w:r>
      <w:r>
        <w:rPr>
          <w:rFonts w:hint="default" w:ascii="Times New Roman" w:hAnsi="Times New Roman" w:eastAsia="宋体" w:cs="Times New Roman"/>
          <w:highlight w:val="none"/>
        </w:rPr>
        <w:t>；</w:t>
      </w:r>
    </w:p>
    <w:p w14:paraId="11A17EC0">
      <w:pPr>
        <w:pStyle w:val="56"/>
        <w:ind w:firstLine="420"/>
        <w:rPr>
          <w:rFonts w:hint="default" w:ascii="Times New Roman" w:hAnsi="Times New Roman" w:eastAsia="宋体" w:cs="Times New Roman"/>
          <w:highlight w:val="none"/>
        </w:rPr>
      </w:pPr>
      <w:r>
        <w:rPr>
          <w:rFonts w:hint="default" w:ascii="Times New Roman" w:hAnsi="Times New Roman" w:cs="Times New Roman" w:eastAsiaTheme="minorEastAsia"/>
          <w:b w:val="0"/>
          <w:bCs w:val="0"/>
          <w:i/>
          <w:iCs/>
          <w:color w:val="auto"/>
          <w:sz w:val="21"/>
          <w:szCs w:val="21"/>
          <w:highlight w:val="none"/>
          <w:lang w:val="en-US" w:eastAsia="zh-CN"/>
        </w:rPr>
        <w:t>x</w:t>
      </w:r>
      <w:r>
        <w:rPr>
          <w:rFonts w:hint="default" w:ascii="Times New Roman" w:hAnsi="Times New Roman" w:eastAsia="宋体" w:cs="Times New Roman"/>
          <w:b w:val="0"/>
          <w:bCs w:val="0"/>
          <w:i/>
          <w:iCs/>
          <w:color w:val="auto"/>
          <w:sz w:val="21"/>
          <w:szCs w:val="21"/>
          <w:highlight w:val="none"/>
          <w:vertAlign w:val="subscript"/>
          <w:lang w:val="en-US" w:eastAsia="zh-CN"/>
        </w:rPr>
        <w:t>i</w:t>
      </w:r>
      <w:r>
        <w:rPr>
          <w:rFonts w:hint="default" w:ascii="Times New Roman" w:hAnsi="Times New Roman" w:eastAsia="宋体" w:cs="Times New Roman"/>
          <w:b w:val="0"/>
          <w:bCs w:val="0"/>
          <w:color w:val="auto"/>
          <w:sz w:val="21"/>
          <w:szCs w:val="21"/>
          <w:highlight w:val="none"/>
          <w:vertAlign w:val="subscript"/>
        </w:rPr>
        <w:t>-</w:t>
      </w:r>
      <w:r>
        <w:rPr>
          <w:rFonts w:hint="default" w:ascii="Times New Roman" w:hAnsi="Times New Roman" w:eastAsia="宋体" w:cs="Times New Roman"/>
          <w:b w:val="0"/>
          <w:bCs w:val="0"/>
          <w:i/>
          <w:iCs/>
          <w:color w:val="auto"/>
          <w:sz w:val="21"/>
          <w:szCs w:val="21"/>
          <w:highlight w:val="none"/>
          <w:vertAlign w:val="subscript"/>
          <w:lang w:val="en-US" w:eastAsia="zh-CN"/>
        </w:rPr>
        <w:t xml:space="preserve">n </w:t>
      </w:r>
      <w:r>
        <w:rPr>
          <w:rFonts w:hint="default" w:ascii="Times New Roman" w:hAnsi="Times New Roman" w:eastAsia="宋体" w:cs="Times New Roman"/>
          <w:highlight w:val="none"/>
        </w:rPr>
        <w:t>—— 某种分离产物</w:t>
      </w:r>
      <w:r>
        <w:rPr>
          <w:rFonts w:hint="default" w:ascii="Times New Roman" w:hAnsi="Times New Roman" w:eastAsia="宋体" w:cs="Times New Roman"/>
          <w:i/>
          <w:iCs/>
          <w:color w:val="auto"/>
          <w:sz w:val="21"/>
          <w:szCs w:val="21"/>
          <w:highlight w:val="none"/>
          <w:lang w:val="en-US" w:eastAsia="zh-CN"/>
        </w:rPr>
        <w:t>n</w:t>
      </w:r>
      <w:r>
        <w:rPr>
          <w:rFonts w:hint="default" w:ascii="Times New Roman" w:hAnsi="Times New Roman" w:eastAsia="宋体" w:cs="Times New Roman"/>
          <w:highlight w:val="none"/>
        </w:rPr>
        <w:t>中</w:t>
      </w:r>
      <w:r>
        <w:rPr>
          <w:rFonts w:hint="default" w:ascii="Times New Roman" w:hAnsi="Times New Roman" w:eastAsia="宋体" w:cs="Times New Roman"/>
          <w:b w:val="0"/>
          <w:bCs w:val="0"/>
          <w:i/>
          <w:iCs/>
          <w:color w:val="auto"/>
          <w:sz w:val="21"/>
          <w:szCs w:val="21"/>
          <w:highlight w:val="none"/>
          <w:lang w:val="en-US" w:eastAsia="zh-CN"/>
        </w:rPr>
        <w:t>i</w:t>
      </w:r>
      <w:r>
        <w:rPr>
          <w:rFonts w:hint="default" w:ascii="Times New Roman" w:hAnsi="Times New Roman" w:eastAsia="宋体" w:cs="Times New Roman"/>
          <w:highlight w:val="none"/>
        </w:rPr>
        <w:t>元素的含量；</w:t>
      </w:r>
    </w:p>
    <w:p w14:paraId="0EC4F204">
      <w:pPr>
        <w:pStyle w:val="180"/>
        <w:rPr>
          <w:rFonts w:hint="default" w:ascii="Times New Roman" w:hAnsi="Times New Roman" w:cs="Times New Roman"/>
          <w:highlight w:val="none"/>
        </w:rPr>
      </w:pPr>
      <w:r>
        <w:rPr>
          <w:rFonts w:hint="default" w:ascii="Times New Roman" w:hAnsi="Times New Roman" w:cs="Times New Roman"/>
          <w:highlight w:val="none"/>
        </w:rPr>
        <w:t xml:space="preserve">由于目前各个厂家电池型号和电解液注液标准不同，电解液中锂、磷回收率难以标准化，本标准暂不规定电解液中锂和磷的回收率，锂、磷元素回收率指电极材料中锂、磷的回收率。 </w:t>
      </w:r>
    </w:p>
    <w:p w14:paraId="2DD58674">
      <w:pPr>
        <w:pStyle w:val="165"/>
        <w:rPr>
          <w:rFonts w:hint="default" w:ascii="Times New Roman" w:hAnsi="Times New Roman" w:eastAsia="宋体" w:cs="Times New Roman"/>
          <w:highlight w:val="none"/>
          <w:lang w:val="en-US" w:eastAsia="zh-CN"/>
        </w:rPr>
      </w:pPr>
      <w:bookmarkStart w:id="55" w:name="_Toc20947"/>
      <w:r>
        <w:rPr>
          <w:rFonts w:hint="default" w:ascii="Times New Roman" w:hAnsi="Times New Roman" w:eastAsia="宋体" w:cs="Times New Roman"/>
          <w:highlight w:val="none"/>
          <w:lang w:val="en-US" w:eastAsia="zh-CN"/>
        </w:rPr>
        <w:t>材料回收阶段</w:t>
      </w:r>
      <w:r>
        <w:rPr>
          <w:rFonts w:hint="eastAsia" w:ascii="Times New Roman" w:cs="Times New Roman"/>
          <w:highlight w:val="none"/>
          <w:lang w:val="en-US" w:eastAsia="zh-CN"/>
        </w:rPr>
        <w:t>有价</w:t>
      </w:r>
      <w:r>
        <w:rPr>
          <w:rFonts w:hint="default" w:ascii="Times New Roman" w:hAnsi="Times New Roman" w:eastAsia="宋体" w:cs="Times New Roman"/>
          <w:highlight w:val="none"/>
          <w:lang w:val="en-US" w:eastAsia="zh-CN"/>
        </w:rPr>
        <w:t>元素回收率</w:t>
      </w:r>
      <w:bookmarkEnd w:id="55"/>
      <w:r>
        <w:rPr>
          <w:rFonts w:hint="default" w:ascii="Times New Roman" w:hAnsi="Times New Roman" w:eastAsia="宋体" w:cs="Times New Roman"/>
          <w:highlight w:val="none"/>
          <w:lang w:val="en-US" w:eastAsia="zh-CN"/>
        </w:rPr>
        <w:t>计算</w:t>
      </w:r>
    </w:p>
    <w:p w14:paraId="55E24E0C">
      <w:pPr>
        <w:pStyle w:val="56"/>
        <w:ind w:firstLine="420"/>
        <w:rPr>
          <w:rFonts w:hint="default" w:ascii="Times New Roman" w:hAnsi="Times New Roman" w:eastAsia="宋体" w:cs="Times New Roman"/>
          <w:highlight w:val="none"/>
          <w:lang w:val="en-US" w:eastAsia="zh-CN"/>
        </w:rPr>
      </w:pPr>
      <w:bookmarkStart w:id="56" w:name="_Toc27228"/>
      <w:r>
        <w:rPr>
          <w:rFonts w:hint="default" w:ascii="Times New Roman" w:hAnsi="Times New Roman" w:eastAsia="宋体" w:cs="Times New Roman"/>
          <w:highlight w:val="none"/>
          <w:lang w:val="en-US" w:eastAsia="zh-CN"/>
        </w:rPr>
        <w:t>材料回收阶段</w:t>
      </w:r>
      <w:r>
        <w:rPr>
          <w:rFonts w:hint="default" w:ascii="Times New Roman" w:hAnsi="Times New Roman" w:eastAsia="宋体" w:cs="Times New Roman"/>
          <w:highlight w:val="none"/>
        </w:rPr>
        <w:t>电极材料中</w:t>
      </w:r>
      <w:r>
        <w:rPr>
          <w:rFonts w:hint="default" w:ascii="Times New Roman" w:hAnsi="Times New Roman" w:eastAsia="宋体" w:cs="Times New Roman"/>
          <w:highlight w:val="none"/>
          <w:lang w:val="en-US" w:eastAsia="zh-CN"/>
        </w:rPr>
        <w:t>镍、钴、锰、锂、铁、磷元素</w:t>
      </w:r>
      <w:r>
        <w:rPr>
          <w:rFonts w:hint="default" w:ascii="Times New Roman" w:hAnsi="Times New Roman" w:eastAsia="宋体" w:cs="Times New Roman"/>
          <w:highlight w:val="none"/>
        </w:rPr>
        <w:t>的回收率</w:t>
      </w:r>
      <w:bookmarkEnd w:id="56"/>
      <w:r>
        <w:rPr>
          <w:rFonts w:hint="default" w:ascii="Times New Roman" w:hAnsi="Times New Roman" w:eastAsia="宋体" w:cs="Times New Roman"/>
          <w:highlight w:val="none"/>
        </w:rPr>
        <w:t>按公式（</w:t>
      </w:r>
      <w:r>
        <w:rPr>
          <w:rFonts w:hint="default" w:ascii="Times New Roman" w:hAnsi="Times New Roman" w:eastAsia="宋体" w:cs="Times New Roman"/>
          <w:highlight w:val="none"/>
          <w:lang w:eastAsia="zh-CN"/>
        </w:rPr>
        <w:t>2</w:t>
      </w:r>
      <w:r>
        <w:rPr>
          <w:rFonts w:hint="default" w:ascii="Times New Roman" w:hAnsi="Times New Roman" w:eastAsia="宋体" w:cs="Times New Roman"/>
          <w:highlight w:val="none"/>
        </w:rPr>
        <w:t>）计算</w:t>
      </w:r>
      <w:r>
        <w:rPr>
          <w:rFonts w:hint="default" w:ascii="Times New Roman" w:hAnsi="Times New Roman" w:eastAsia="宋体" w:cs="Times New Roman"/>
          <w:highlight w:val="none"/>
          <w:lang w:eastAsia="zh-CN"/>
        </w:rPr>
        <w:t>：</w:t>
      </w:r>
    </w:p>
    <w:p w14:paraId="4EE7F42A">
      <w:pPr>
        <w:pStyle w:val="2"/>
        <w:jc w:val="right"/>
        <w:rPr>
          <w:rFonts w:hint="default" w:ascii="Times New Roman" w:hAnsi="Times New Roman" w:cs="Times New Roman"/>
          <w:i w:val="0"/>
          <w:sz w:val="21"/>
          <w:szCs w:val="21"/>
          <w:highlight w:val="none"/>
          <w:lang w:val="en-US" w:eastAsia="zh-CN"/>
        </w:rPr>
      </w:pPr>
      <m:oMath>
        <m:sSub>
          <m:sSubPr>
            <m:ctrlPr>
              <w:rPr>
                <w:rFonts w:hint="default" w:ascii="Cambria Math" w:hAnsi="Cambria Math" w:cs="Times New Roman"/>
                <w:i/>
                <w:sz w:val="24"/>
                <w:szCs w:val="24"/>
                <w:highlight w:val="none"/>
              </w:rPr>
            </m:ctrlPr>
          </m:sSubPr>
          <m:e>
            <m:r>
              <m:rPr/>
              <w:rPr>
                <w:rFonts w:hint="default" w:ascii="Cambria Math" w:hAnsi="Cambria Math" w:cs="Times New Roman"/>
                <w:sz w:val="24"/>
                <w:szCs w:val="24"/>
                <w:highlight w:val="none"/>
              </w:rPr>
              <m:t>φ</m:t>
            </m:r>
            <m:ctrlPr>
              <w:rPr>
                <w:rFonts w:hint="default" w:ascii="Cambria Math" w:hAnsi="Cambria Math" w:cs="Times New Roman"/>
                <w:i/>
                <w:sz w:val="24"/>
                <w:szCs w:val="24"/>
                <w:highlight w:val="none"/>
              </w:rPr>
            </m:ctrlPr>
          </m:e>
          <m:sub>
            <m:r>
              <m:rPr/>
              <w:rPr>
                <w:rFonts w:hint="default" w:ascii="Cambria Math" w:hAnsi="Cambria Math" w:cs="Times New Roman"/>
                <w:sz w:val="24"/>
                <w:szCs w:val="24"/>
                <w:highlight w:val="none"/>
                <w:lang w:val="en-US" w:eastAsia="zh-CN"/>
              </w:rPr>
              <m:t>j</m:t>
            </m:r>
            <m:ctrlPr>
              <w:rPr>
                <w:rFonts w:hint="default" w:ascii="Cambria Math" w:hAnsi="Cambria Math" w:cs="Times New Roman"/>
                <w:i/>
                <w:sz w:val="24"/>
                <w:szCs w:val="24"/>
                <w:highlight w:val="none"/>
              </w:rPr>
            </m:ctrlPr>
          </m:sub>
        </m:sSub>
        <m:r>
          <m:rPr/>
          <w:rPr>
            <w:rFonts w:hint="default" w:ascii="Cambria Math" w:hAnsi="Cambria Math" w:cs="Times New Roman"/>
            <w:sz w:val="24"/>
            <w:szCs w:val="24"/>
            <w:highlight w:val="none"/>
            <w:lang w:val="en-US" w:eastAsia="zh-CN"/>
          </w:rPr>
          <m:t>=</m:t>
        </m:r>
        <m:f>
          <m:fPr>
            <m:ctrlPr>
              <w:rPr>
                <w:rFonts w:hint="default" w:ascii="Cambria Math" w:hAnsi="Cambria Math" w:cs="Times New Roman"/>
                <w:i/>
                <w:sz w:val="24"/>
                <w:szCs w:val="24"/>
                <w:highlight w:val="none"/>
                <w:lang w:val="en-US" w:eastAsia="zh-CN"/>
              </w:rPr>
            </m:ctrlPr>
          </m:fPr>
          <m:num>
            <m:sSub>
              <m:sSubPr>
                <m:ctrlPr>
                  <w:rPr>
                    <w:rFonts w:hint="default" w:ascii="Cambria Math" w:hAnsi="Cambria Math" w:cs="Times New Roman"/>
                    <w:i/>
                    <w:sz w:val="24"/>
                    <w:szCs w:val="24"/>
                    <w:highlight w:val="none"/>
                    <w:lang w:val="en-US" w:eastAsia="zh-CN"/>
                  </w:rPr>
                </m:ctrlPr>
              </m:sSubPr>
              <m:e>
                <m:r>
                  <m:rPr/>
                  <w:rPr>
                    <w:rFonts w:hint="default" w:ascii="Cambria Math" w:hAnsi="Cambria Math" w:cs="Times New Roman"/>
                    <w:sz w:val="24"/>
                    <w:szCs w:val="24"/>
                    <w:highlight w:val="none"/>
                    <w:lang w:val="en-US" w:eastAsia="zh-CN"/>
                  </w:rPr>
                  <m:t>m</m:t>
                </m:r>
                <m:ctrlPr>
                  <w:rPr>
                    <w:rFonts w:hint="default" w:ascii="Cambria Math" w:hAnsi="Cambria Math" w:cs="Times New Roman"/>
                    <w:i/>
                    <w:sz w:val="24"/>
                    <w:szCs w:val="24"/>
                    <w:highlight w:val="none"/>
                    <w:lang w:val="en-US" w:eastAsia="zh-CN"/>
                  </w:rPr>
                </m:ctrlPr>
              </m:e>
              <m:sub>
                <m:r>
                  <m:rPr/>
                  <w:rPr>
                    <w:rFonts w:hint="default" w:ascii="Cambria Math" w:hAnsi="Cambria Math" w:cs="Times New Roman"/>
                    <w:sz w:val="24"/>
                    <w:szCs w:val="24"/>
                    <w:highlight w:val="none"/>
                    <w:lang w:val="en-US" w:eastAsia="zh-CN"/>
                  </w:rPr>
                  <m:t>j</m:t>
                </m:r>
                <m:ctrlPr>
                  <w:rPr>
                    <w:rFonts w:hint="default" w:ascii="Cambria Math" w:hAnsi="Cambria Math" w:cs="Times New Roman"/>
                    <w:i/>
                    <w:sz w:val="24"/>
                    <w:szCs w:val="24"/>
                    <w:highlight w:val="none"/>
                    <w:lang w:val="en-US" w:eastAsia="zh-CN"/>
                  </w:rPr>
                </m:ctrlPr>
              </m:sub>
            </m:sSub>
            <m:r>
              <m:rPr/>
              <w:rPr>
                <w:rFonts w:hint="default" w:ascii="Cambria Math" w:hAnsi="Cambria Math" w:cs="Times New Roman"/>
                <w:sz w:val="24"/>
                <w:szCs w:val="24"/>
                <w:highlight w:val="none"/>
                <w:lang w:val="en-US"/>
              </w:rPr>
              <m:t>×</m:t>
            </m:r>
            <m:sSub>
              <m:sSubPr>
                <m:ctrlPr>
                  <w:rPr>
                    <w:rFonts w:hint="default" w:ascii="Cambria Math" w:hAnsi="Cambria Math" w:cs="Times New Roman"/>
                    <w:i/>
                    <w:sz w:val="24"/>
                    <w:szCs w:val="24"/>
                    <w:highlight w:val="none"/>
                    <w:lang w:val="en-US"/>
                  </w:rPr>
                </m:ctrlPr>
              </m:sSubPr>
              <m:e>
                <m:r>
                  <m:rPr/>
                  <w:rPr>
                    <w:rFonts w:hint="default" w:ascii="Cambria Math" w:hAnsi="Cambria Math" w:cs="Times New Roman"/>
                    <w:sz w:val="24"/>
                    <w:szCs w:val="24"/>
                    <w:highlight w:val="none"/>
                    <w:lang w:val="en-US" w:eastAsia="zh-CN"/>
                  </w:rPr>
                  <m:t>x</m:t>
                </m:r>
                <m:ctrlPr>
                  <w:rPr>
                    <w:rFonts w:hint="default" w:ascii="Cambria Math" w:hAnsi="Cambria Math" w:cs="Times New Roman"/>
                    <w:i/>
                    <w:sz w:val="24"/>
                    <w:szCs w:val="24"/>
                    <w:highlight w:val="none"/>
                    <w:lang w:val="en-US"/>
                  </w:rPr>
                </m:ctrlPr>
              </m:e>
              <m:sub>
                <m:r>
                  <m:rPr/>
                  <w:rPr>
                    <w:rFonts w:hint="default" w:ascii="Cambria Math" w:hAnsi="Cambria Math" w:cs="Times New Roman"/>
                    <w:sz w:val="24"/>
                    <w:szCs w:val="24"/>
                    <w:highlight w:val="none"/>
                    <w:lang w:val="en-US" w:eastAsia="zh-CN"/>
                  </w:rPr>
                  <m:t>j</m:t>
                </m:r>
                <m:ctrlPr>
                  <w:rPr>
                    <w:rFonts w:hint="default" w:ascii="Cambria Math" w:hAnsi="Cambria Math" w:cs="Times New Roman"/>
                    <w:i/>
                    <w:sz w:val="24"/>
                    <w:szCs w:val="24"/>
                    <w:highlight w:val="none"/>
                    <w:lang w:val="en-US"/>
                  </w:rPr>
                </m:ctrlPr>
              </m:sub>
            </m:sSub>
            <m:ctrlPr>
              <w:rPr>
                <w:rFonts w:hint="default" w:ascii="Cambria Math" w:hAnsi="Cambria Math" w:cs="Times New Roman"/>
                <w:i/>
                <w:sz w:val="24"/>
                <w:szCs w:val="24"/>
                <w:highlight w:val="none"/>
                <w:lang w:val="en-US" w:eastAsia="zh-CN"/>
              </w:rPr>
            </m:ctrlPr>
          </m:num>
          <m:den>
            <m:r>
              <m:rPr/>
              <w:rPr>
                <w:rFonts w:hint="default" w:ascii="Cambria Math" w:hAnsi="Cambria Math" w:cs="Times New Roman"/>
                <w:sz w:val="24"/>
                <w:szCs w:val="24"/>
                <w:highlight w:val="none"/>
                <w:lang w:val="en-US" w:eastAsia="zh-CN"/>
              </w:rPr>
              <m:t>m</m:t>
            </m:r>
            <m:r>
              <m:rPr/>
              <w:rPr>
                <w:rFonts w:hint="default" w:ascii="Cambria Math" w:hAnsi="Cambria Math" w:cs="Times New Roman"/>
                <w:sz w:val="24"/>
                <w:szCs w:val="24"/>
                <w:highlight w:val="none"/>
                <w:lang w:val="en-US"/>
              </w:rPr>
              <m:t>×</m:t>
            </m:r>
            <m:r>
              <m:rPr/>
              <w:rPr>
                <w:rFonts w:hint="default" w:ascii="Cambria Math" w:hAnsi="Cambria Math" w:cs="Times New Roman"/>
                <w:sz w:val="24"/>
                <w:szCs w:val="24"/>
                <w:highlight w:val="none"/>
                <w:lang w:val="en-US" w:eastAsia="zh-CN"/>
              </w:rPr>
              <m:t>x</m:t>
            </m:r>
            <m:ctrlPr>
              <w:rPr>
                <w:rFonts w:hint="default" w:ascii="Cambria Math" w:hAnsi="Cambria Math" w:cs="Times New Roman"/>
                <w:i/>
                <w:sz w:val="24"/>
                <w:szCs w:val="24"/>
                <w:highlight w:val="none"/>
                <w:lang w:val="en-US" w:eastAsia="zh-CN"/>
              </w:rPr>
            </m:ctrlPr>
          </m:den>
        </m:f>
        <m:r>
          <m:rPr/>
          <w:rPr>
            <w:rFonts w:hint="default" w:ascii="Cambria Math" w:hAnsi="Cambria Math" w:cs="Times New Roman"/>
            <w:sz w:val="24"/>
            <w:szCs w:val="24"/>
            <w:highlight w:val="none"/>
            <w:lang w:val="en-US"/>
          </w:rPr>
          <m:t>×</m:t>
        </m:r>
        <m:r>
          <m:rPr/>
          <w:rPr>
            <w:rFonts w:hint="default" w:ascii="Cambria Math" w:hAnsi="Cambria Math" w:cs="Times New Roman"/>
            <w:sz w:val="24"/>
            <w:szCs w:val="24"/>
            <w:highlight w:val="none"/>
            <w:lang w:val="en-US" w:eastAsia="zh-CN"/>
          </w:rPr>
          <m:t>100%</m:t>
        </m:r>
      </m:oMath>
      <w:r>
        <w:rPr>
          <w:rFonts w:hint="default" w:ascii="Times New Roman" w:hAnsi="Times New Roman" w:cs="Times New Roman"/>
          <w:i w:val="0"/>
          <w:sz w:val="24"/>
          <w:szCs w:val="24"/>
          <w:highlight w:val="none"/>
          <w:lang w:val="en-US" w:eastAsia="zh-CN"/>
        </w:rPr>
        <w:t xml:space="preserve">                            </w:t>
      </w:r>
      <w:r>
        <w:rPr>
          <w:rFonts w:hint="default" w:ascii="Times New Roman" w:hAnsi="Times New Roman" w:cs="Times New Roman"/>
          <w:i w:val="0"/>
          <w:sz w:val="21"/>
          <w:szCs w:val="21"/>
          <w:highlight w:val="none"/>
          <w:lang w:val="en-US" w:eastAsia="zh-CN"/>
        </w:rPr>
        <w:t>（2）</w:t>
      </w:r>
    </w:p>
    <w:p w14:paraId="6F75601A">
      <w:pPr>
        <w:pStyle w:val="56"/>
        <w:ind w:firstLine="420"/>
        <w:rPr>
          <w:rFonts w:hint="default" w:ascii="Times New Roman" w:hAnsi="Times New Roman" w:eastAsia="宋体" w:cs="Times New Roman"/>
          <w:highlight w:val="none"/>
        </w:rPr>
      </w:pPr>
      <w:r>
        <w:rPr>
          <w:rFonts w:hint="default" w:ascii="Times New Roman" w:hAnsi="Times New Roman" w:eastAsia="宋体" w:cs="Times New Roman"/>
          <w:highlight w:val="none"/>
        </w:rPr>
        <w:t>式中：</w:t>
      </w:r>
    </w:p>
    <w:p w14:paraId="5F285A5A">
      <w:pPr>
        <w:pStyle w:val="56"/>
        <w:ind w:firstLine="420"/>
        <w:rPr>
          <w:rFonts w:hint="default" w:ascii="Times New Roman" w:hAnsi="Times New Roman" w:cs="Times New Roman"/>
          <w:highlight w:val="none"/>
          <w:lang w:val="en-US" w:eastAsia="zh-CN"/>
        </w:rPr>
      </w:pPr>
      <m:oMath>
        <m:sSub>
          <m:sSubPr>
            <m:ctrlPr>
              <w:rPr>
                <w:rFonts w:hint="default" w:ascii="Cambria Math" w:hAnsi="Cambria Math" w:cs="Times New Roman"/>
                <w:i/>
                <w:sz w:val="21"/>
                <w:szCs w:val="21"/>
                <w:highlight w:val="none"/>
              </w:rPr>
            </m:ctrlPr>
          </m:sSubPr>
          <m:e>
            <m:r>
              <m:rPr/>
              <w:rPr>
                <w:rFonts w:hint="default" w:ascii="Cambria Math" w:hAnsi="Cambria Math" w:cs="Times New Roman"/>
                <w:sz w:val="21"/>
                <w:szCs w:val="21"/>
                <w:highlight w:val="none"/>
              </w:rPr>
              <m:t>φ</m:t>
            </m:r>
            <m:ctrlPr>
              <w:rPr>
                <w:rFonts w:hint="default" w:ascii="Cambria Math" w:hAnsi="Cambria Math" w:cs="Times New Roman"/>
                <w:i/>
                <w:sz w:val="21"/>
                <w:szCs w:val="21"/>
                <w:highlight w:val="none"/>
              </w:rPr>
            </m:ctrlPr>
          </m:e>
          <m:sub>
            <m:r>
              <m:rPr/>
              <w:rPr>
                <w:rFonts w:hint="default" w:ascii="Cambria Math" w:hAnsi="Cambria Math" w:cs="Times New Roman"/>
                <w:sz w:val="21"/>
                <w:szCs w:val="21"/>
                <w:highlight w:val="none"/>
                <w:lang w:val="en-US" w:eastAsia="zh-CN"/>
              </w:rPr>
              <m:t>j</m:t>
            </m:r>
            <m:ctrlPr>
              <w:rPr>
                <w:rFonts w:hint="default" w:ascii="Cambria Math" w:hAnsi="Cambria Math" w:cs="Times New Roman"/>
                <w:i/>
                <w:sz w:val="21"/>
                <w:szCs w:val="21"/>
                <w:highlight w:val="none"/>
              </w:rPr>
            </m:ctrlPr>
          </m:sub>
        </m:sSub>
      </m:oMath>
      <w:r>
        <w:rPr>
          <w:rFonts w:hint="default" w:ascii="Times New Roman" w:hAnsi="Times New Roman" w:cs="Times New Roman"/>
          <w:b w:val="0"/>
          <w:bCs w:val="0"/>
          <w:i/>
          <w:iCs/>
          <w:color w:val="auto"/>
          <w:sz w:val="21"/>
          <w:szCs w:val="21"/>
          <w:highlight w:val="none"/>
          <w:vertAlign w:val="subscript"/>
          <w:lang w:val="en-US" w:eastAsia="zh-CN"/>
        </w:rPr>
        <w:t xml:space="preserve"> </w:t>
      </w:r>
      <w:r>
        <w:rPr>
          <w:rFonts w:hint="default" w:ascii="Times New Roman" w:hAnsi="Times New Roman" w:cs="Times New Roman"/>
          <w:highlight w:val="none"/>
          <w:lang w:val="en-US" w:eastAsia="zh-CN"/>
        </w:rPr>
        <w:t>—— 材料回收阶段电极材料中j（镍、钴、锰、锂、铁、磷）元素的回收率；</w:t>
      </w:r>
    </w:p>
    <w:p w14:paraId="5B2F0057">
      <w:pPr>
        <w:pStyle w:val="56"/>
        <w:ind w:firstLine="420"/>
        <w:rPr>
          <w:rFonts w:hint="default" w:ascii="Times New Roman" w:hAnsi="Times New Roman" w:cs="Times New Roman"/>
          <w:highlight w:val="none"/>
          <w:lang w:val="en-US" w:eastAsia="zh-CN"/>
        </w:rPr>
      </w:pPr>
      <w:r>
        <w:rPr>
          <w:rFonts w:hint="default" w:ascii="Times New Roman" w:hAnsi="Times New Roman" w:eastAsia="宋体" w:cs="Times New Roman"/>
          <w:b w:val="0"/>
          <w:bCs w:val="0"/>
          <w:i/>
          <w:iCs/>
          <w:color w:val="auto"/>
          <w:sz w:val="21"/>
          <w:szCs w:val="21"/>
          <w:highlight w:val="none"/>
        </w:rPr>
        <w:t>m</w:t>
      </w:r>
      <w:r>
        <w:rPr>
          <w:rFonts w:hint="default" w:ascii="Times New Roman" w:hAnsi="Times New Roman" w:eastAsia="宋体" w:cs="Times New Roman"/>
          <w:i/>
          <w:iCs/>
          <w:color w:val="auto"/>
          <w:sz w:val="21"/>
          <w:szCs w:val="21"/>
          <w:highlight w:val="none"/>
          <w:vertAlign w:val="subscript"/>
          <w:lang w:eastAsia="zh-CN"/>
        </w:rPr>
        <w:t>j</w:t>
      </w:r>
      <w:r>
        <w:rPr>
          <w:rFonts w:hint="default" w:ascii="Times New Roman" w:hAnsi="Times New Roman" w:cs="Times New Roman"/>
          <w:i/>
          <w:iCs/>
          <w:color w:val="auto"/>
          <w:sz w:val="21"/>
          <w:szCs w:val="21"/>
          <w:highlight w:val="none"/>
          <w:vertAlign w:val="subscript"/>
          <w:lang w:val="en-US" w:eastAsia="zh-CN"/>
        </w:rPr>
        <w:t xml:space="preserve"> </w:t>
      </w:r>
      <w:r>
        <w:rPr>
          <w:rFonts w:hint="default" w:ascii="Times New Roman" w:hAnsi="Times New Roman" w:cs="Times New Roman"/>
          <w:highlight w:val="none"/>
          <w:lang w:val="en-US" w:eastAsia="zh-CN"/>
        </w:rPr>
        <w:t>—— 计算时间段内，材料回收阶段产出</w:t>
      </w:r>
      <w:r>
        <w:rPr>
          <w:rFonts w:hint="default" w:ascii="Times New Roman" w:hAnsi="Times New Roman" w:eastAsia="宋体" w:cs="Times New Roman"/>
          <w:b w:val="0"/>
          <w:bCs w:val="0"/>
          <w:i/>
          <w:iCs/>
          <w:color w:val="auto"/>
          <w:sz w:val="21"/>
          <w:szCs w:val="21"/>
          <w:highlight w:val="none"/>
          <w:lang w:val="en-US" w:eastAsia="zh-CN"/>
        </w:rPr>
        <w:t>j</w:t>
      </w:r>
      <w:r>
        <w:rPr>
          <w:rFonts w:hint="default" w:ascii="Times New Roman" w:hAnsi="Times New Roman" w:cs="Times New Roman"/>
          <w:highlight w:val="none"/>
          <w:lang w:val="en-US" w:eastAsia="zh-CN"/>
        </w:rPr>
        <w:t>产物的质量，单位为</w:t>
      </w:r>
      <w:r>
        <w:rPr>
          <w:rFonts w:hint="eastAsia" w:ascii="Times New Roman" w:hAnsi="Times New Roman" w:cs="Times New Roman"/>
          <w:highlight w:val="none"/>
          <w:lang w:val="en-US" w:eastAsia="zh-CN"/>
        </w:rPr>
        <w:t>千克(</w:t>
      </w:r>
      <w:r>
        <w:rPr>
          <w:rFonts w:hint="default" w:ascii="Times New Roman" w:hAnsi="Times New Roman" w:eastAsia="宋体" w:cs="Times New Roman"/>
          <w:highlight w:val="none"/>
        </w:rPr>
        <w:t>kg</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w:t>
      </w:r>
    </w:p>
    <w:p w14:paraId="34A40932">
      <w:pPr>
        <w:pStyle w:val="56"/>
        <w:ind w:firstLine="420"/>
        <w:rPr>
          <w:rFonts w:hint="default" w:ascii="Times New Roman" w:hAnsi="Times New Roman" w:cs="Times New Roman"/>
          <w:highlight w:val="none"/>
          <w:lang w:val="en-US" w:eastAsia="zh-CN"/>
        </w:rPr>
      </w:pPr>
      <w:r>
        <w:rPr>
          <w:rFonts w:hint="default" w:ascii="Times New Roman" w:hAnsi="Times New Roman" w:eastAsia="宋体" w:cs="Times New Roman"/>
          <w:b w:val="0"/>
          <w:bCs w:val="0"/>
          <w:i/>
          <w:iCs/>
          <w:color w:val="auto"/>
          <w:sz w:val="21"/>
          <w:szCs w:val="21"/>
          <w:highlight w:val="none"/>
        </w:rPr>
        <w:t>x</w:t>
      </w:r>
      <w:r>
        <w:rPr>
          <w:rFonts w:hint="default" w:ascii="Times New Roman" w:hAnsi="Times New Roman" w:eastAsia="宋体" w:cs="Times New Roman"/>
          <w:b w:val="0"/>
          <w:bCs w:val="0"/>
          <w:i/>
          <w:iCs/>
          <w:color w:val="auto"/>
          <w:sz w:val="21"/>
          <w:szCs w:val="21"/>
          <w:highlight w:val="none"/>
          <w:vertAlign w:val="subscript"/>
          <w:lang w:val="en-US" w:eastAsia="zh-CN"/>
        </w:rPr>
        <w:t>j</w:t>
      </w:r>
      <w:r>
        <w:rPr>
          <w:rFonts w:hint="default" w:ascii="Times New Roman" w:hAnsi="Times New Roman" w:cs="Times New Roman"/>
          <w:highlight w:val="none"/>
          <w:lang w:val="en-US" w:eastAsia="zh-CN"/>
        </w:rPr>
        <w:t xml:space="preserve"> —— 产出的</w:t>
      </w:r>
      <w:r>
        <w:rPr>
          <w:rFonts w:hint="default" w:ascii="Times New Roman" w:hAnsi="Times New Roman" w:eastAsia="宋体" w:cs="Times New Roman"/>
          <w:b w:val="0"/>
          <w:bCs w:val="0"/>
          <w:i/>
          <w:iCs/>
          <w:color w:val="auto"/>
          <w:sz w:val="21"/>
          <w:szCs w:val="21"/>
          <w:highlight w:val="none"/>
          <w:lang w:val="en-US" w:eastAsia="zh-CN"/>
        </w:rPr>
        <w:t>j</w:t>
      </w:r>
      <w:r>
        <w:rPr>
          <w:rFonts w:hint="default" w:ascii="Times New Roman" w:hAnsi="Times New Roman" w:eastAsia="宋体" w:cs="Times New Roman"/>
          <w:highlight w:val="none"/>
          <w:lang w:val="en-US" w:eastAsia="zh-CN"/>
        </w:rPr>
        <w:t>产物</w:t>
      </w:r>
      <w:r>
        <w:rPr>
          <w:rFonts w:hint="default" w:ascii="Times New Roman" w:hAnsi="Times New Roman" w:cs="Times New Roman"/>
          <w:highlight w:val="none"/>
          <w:lang w:val="en-US" w:eastAsia="zh-CN"/>
        </w:rPr>
        <w:t>中</w:t>
      </w:r>
      <w:r>
        <w:rPr>
          <w:rFonts w:hint="default" w:ascii="Times New Roman" w:hAnsi="Times New Roman" w:eastAsia="宋体" w:cs="Times New Roman"/>
          <w:b w:val="0"/>
          <w:bCs w:val="0"/>
          <w:i/>
          <w:iCs/>
          <w:color w:val="auto"/>
          <w:sz w:val="21"/>
          <w:szCs w:val="21"/>
          <w:highlight w:val="none"/>
          <w:lang w:val="en-US" w:eastAsia="zh-CN"/>
        </w:rPr>
        <w:t>j</w:t>
      </w:r>
      <w:r>
        <w:rPr>
          <w:rFonts w:hint="default" w:ascii="Times New Roman" w:hAnsi="Times New Roman" w:cs="Times New Roman"/>
          <w:highlight w:val="none"/>
          <w:lang w:val="en-US" w:eastAsia="zh-CN"/>
        </w:rPr>
        <w:t>元素的含量；</w:t>
      </w:r>
    </w:p>
    <w:p w14:paraId="5877948F">
      <w:pPr>
        <w:pStyle w:val="56"/>
        <w:ind w:firstLine="420"/>
        <w:rPr>
          <w:rFonts w:hint="default" w:ascii="Times New Roman" w:hAnsi="Times New Roman" w:cs="Times New Roman"/>
          <w:highlight w:val="none"/>
          <w:lang w:val="en-US" w:eastAsia="zh-CN"/>
        </w:rPr>
      </w:pPr>
      <w:r>
        <w:rPr>
          <w:rFonts w:hint="default" w:ascii="Times New Roman" w:hAnsi="Times New Roman" w:eastAsia="宋体" w:cs="Times New Roman"/>
          <w:b w:val="0"/>
          <w:bCs w:val="0"/>
          <w:i/>
          <w:iCs/>
          <w:color w:val="auto"/>
          <w:sz w:val="21"/>
          <w:szCs w:val="21"/>
          <w:highlight w:val="none"/>
        </w:rPr>
        <w:t>m</w:t>
      </w:r>
      <w:r>
        <w:rPr>
          <w:rFonts w:hint="default" w:ascii="Times New Roman" w:hAnsi="Times New Roman" w:cs="Times New Roman"/>
          <w:highlight w:val="none"/>
          <w:lang w:val="en-US" w:eastAsia="zh-CN"/>
        </w:rPr>
        <w:t xml:space="preserve"> —— 计算时间段内，材料回收阶段产出正负极混合料的质量，单位为</w:t>
      </w:r>
      <w:r>
        <w:rPr>
          <w:rFonts w:hint="eastAsia" w:ascii="Times New Roman" w:hAnsi="Times New Roman" w:cs="Times New Roman"/>
          <w:highlight w:val="none"/>
          <w:lang w:val="en-US" w:eastAsia="zh-CN"/>
        </w:rPr>
        <w:t>千克(</w:t>
      </w:r>
      <w:r>
        <w:rPr>
          <w:rFonts w:hint="default" w:ascii="Times New Roman" w:hAnsi="Times New Roman" w:eastAsia="宋体" w:cs="Times New Roman"/>
          <w:highlight w:val="none"/>
        </w:rPr>
        <w:t>kg</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w:t>
      </w:r>
    </w:p>
    <w:p w14:paraId="442AC498">
      <w:pPr>
        <w:pStyle w:val="56"/>
        <w:ind w:firstLine="420"/>
        <w:rPr>
          <w:rFonts w:hint="default" w:ascii="Times New Roman" w:hAnsi="Times New Roman" w:cs="Times New Roman"/>
          <w:highlight w:val="none"/>
          <w:lang w:val="en-US" w:eastAsia="zh-CN"/>
        </w:rPr>
      </w:pPr>
      <w:r>
        <w:rPr>
          <w:rFonts w:hint="default" w:ascii="Times New Roman" w:hAnsi="Times New Roman" w:eastAsia="宋体" w:cs="Times New Roman"/>
          <w:b w:val="0"/>
          <w:bCs w:val="0"/>
          <w:i/>
          <w:iCs/>
          <w:color w:val="auto"/>
          <w:sz w:val="21"/>
          <w:szCs w:val="21"/>
          <w:highlight w:val="none"/>
        </w:rPr>
        <w:t>x</w:t>
      </w:r>
      <w:r>
        <w:rPr>
          <w:rFonts w:hint="default" w:ascii="Times New Roman" w:hAnsi="Times New Roman" w:cs="Times New Roman"/>
          <w:highlight w:val="none"/>
          <w:lang w:val="en-US" w:eastAsia="zh-CN"/>
        </w:rPr>
        <w:t xml:space="preserve"> —— 正负极混合料中</w:t>
      </w:r>
      <w:r>
        <w:rPr>
          <w:rFonts w:hint="default" w:ascii="Times New Roman" w:hAnsi="Times New Roman" w:eastAsia="宋体" w:cs="Times New Roman"/>
          <w:b w:val="0"/>
          <w:bCs w:val="0"/>
          <w:i/>
          <w:iCs/>
          <w:color w:val="auto"/>
          <w:sz w:val="21"/>
          <w:szCs w:val="21"/>
          <w:highlight w:val="none"/>
          <w:lang w:val="en-US" w:eastAsia="zh-CN"/>
        </w:rPr>
        <w:t>j</w:t>
      </w:r>
      <w:r>
        <w:rPr>
          <w:rFonts w:hint="default" w:ascii="Times New Roman" w:hAnsi="Times New Roman" w:cs="Times New Roman"/>
          <w:highlight w:val="none"/>
          <w:lang w:val="en-US" w:eastAsia="zh-CN"/>
        </w:rPr>
        <w:t>元素的含量；</w:t>
      </w:r>
    </w:p>
    <w:p w14:paraId="09F3D27B">
      <w:pPr>
        <w:pStyle w:val="165"/>
        <w:rPr>
          <w:rFonts w:hint="default" w:ascii="Times New Roman" w:hAnsi="Times New Roman" w:eastAsia="宋体" w:cs="Times New Roman"/>
          <w:highlight w:val="none"/>
          <w:lang w:val="en-US" w:eastAsia="zh-CN"/>
        </w:rPr>
      </w:pPr>
      <w:bookmarkStart w:id="57" w:name="_Toc1317"/>
      <w:bookmarkStart w:id="58" w:name="_Toc16869"/>
      <w:r>
        <w:rPr>
          <w:rFonts w:hint="default" w:ascii="Times New Roman" w:hAnsi="Times New Roman" w:eastAsia="宋体" w:cs="Times New Roman"/>
          <w:highlight w:val="none"/>
          <w:lang w:val="en-US" w:eastAsia="zh-CN"/>
        </w:rPr>
        <w:t>元素总回收率</w:t>
      </w:r>
      <w:bookmarkEnd w:id="57"/>
      <w:bookmarkEnd w:id="58"/>
      <w:r>
        <w:rPr>
          <w:rFonts w:hint="default" w:ascii="Times New Roman" w:hAnsi="Times New Roman" w:eastAsia="宋体" w:cs="Times New Roman"/>
          <w:highlight w:val="none"/>
          <w:lang w:val="en-US" w:eastAsia="zh-CN"/>
        </w:rPr>
        <w:t>计算</w:t>
      </w:r>
    </w:p>
    <w:p w14:paraId="6DC60A51">
      <w:pPr>
        <w:pStyle w:val="56"/>
        <w:ind w:firstLine="42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最终产品中的镍、钴、锰、锂、铁、磷元素总回收率按公式（3）计算：</w:t>
      </w:r>
    </w:p>
    <w:p w14:paraId="4D0044EE">
      <w:pPr>
        <w:pStyle w:val="180"/>
        <w:numPr>
          <w:ilvl w:val="0"/>
          <w:numId w:val="0"/>
        </w:numPr>
        <w:jc w:val="right"/>
        <w:rPr>
          <w:rFonts w:hint="default" w:ascii="Times New Roman" w:hAnsi="Times New Roman" w:cs="Times New Roman"/>
          <w:i w:val="0"/>
          <w:sz w:val="21"/>
          <w:szCs w:val="21"/>
          <w:highlight w:val="none"/>
          <w:lang w:val="en-US" w:eastAsia="zh-CN"/>
        </w:rPr>
      </w:pPr>
      <m:oMath>
        <m:r>
          <m:rPr/>
          <w:rPr>
            <w:rFonts w:hint="default" w:ascii="Cambria Math" w:hAnsi="Cambria Math" w:cs="Times New Roman"/>
            <w:sz w:val="24"/>
            <w:szCs w:val="24"/>
            <w:highlight w:val="none"/>
            <w:lang w:val="en-US"/>
          </w:rPr>
          <m:t>φ</m:t>
        </m:r>
        <m:r>
          <m:rPr/>
          <w:rPr>
            <w:rFonts w:hint="default" w:ascii="Cambria Math" w:hAnsi="Cambria Math" w:cs="Times New Roman"/>
            <w:sz w:val="24"/>
            <w:szCs w:val="24"/>
            <w:highlight w:val="none"/>
            <w:lang w:val="en-US" w:eastAsia="zh-CN"/>
          </w:rPr>
          <m:t>=</m:t>
        </m:r>
        <m:sSub>
          <m:sSubPr>
            <m:ctrlPr>
              <w:rPr>
                <w:rFonts w:hint="default" w:ascii="Cambria Math" w:hAnsi="Cambria Math" w:cs="Times New Roman"/>
                <w:i/>
                <w:sz w:val="24"/>
                <w:szCs w:val="24"/>
                <w:highlight w:val="none"/>
                <w:lang w:val="en-US" w:eastAsia="zh-CN"/>
              </w:rPr>
            </m:ctrlPr>
          </m:sSubPr>
          <m:e>
            <m:r>
              <m:rPr/>
              <w:rPr>
                <w:rFonts w:hint="default" w:ascii="Cambria Math" w:hAnsi="Cambria Math" w:cs="Times New Roman"/>
                <w:sz w:val="24"/>
                <w:szCs w:val="24"/>
                <w:highlight w:val="none"/>
                <w:lang w:val="en-US"/>
              </w:rPr>
              <m:t>φ</m:t>
            </m:r>
            <m:ctrlPr>
              <w:rPr>
                <w:rFonts w:hint="default" w:ascii="Cambria Math" w:hAnsi="Cambria Math" w:cs="Times New Roman"/>
                <w:i/>
                <w:sz w:val="24"/>
                <w:szCs w:val="24"/>
                <w:highlight w:val="none"/>
                <w:lang w:val="en-US" w:eastAsia="zh-CN"/>
              </w:rPr>
            </m:ctrlPr>
          </m:e>
          <m:sub>
            <m:r>
              <m:rPr/>
              <w:rPr>
                <w:rFonts w:hint="default" w:ascii="Cambria Math" w:hAnsi="Cambria Math" w:cs="Times New Roman"/>
                <w:sz w:val="24"/>
                <w:szCs w:val="24"/>
                <w:highlight w:val="none"/>
                <w:lang w:val="en-US" w:eastAsia="zh-CN"/>
              </w:rPr>
              <m:t>i</m:t>
            </m:r>
            <m:ctrlPr>
              <w:rPr>
                <w:rFonts w:hint="default" w:ascii="Cambria Math" w:hAnsi="Cambria Math" w:cs="Times New Roman"/>
                <w:i/>
                <w:sz w:val="24"/>
                <w:szCs w:val="24"/>
                <w:highlight w:val="none"/>
                <w:lang w:val="en-US" w:eastAsia="zh-CN"/>
              </w:rPr>
            </m:ctrlPr>
          </m:sub>
        </m:sSub>
        <m:r>
          <m:rPr/>
          <w:rPr>
            <w:rFonts w:hint="default" w:ascii="Cambria Math" w:hAnsi="Cambria Math" w:cs="Times New Roman"/>
            <w:sz w:val="24"/>
            <w:szCs w:val="24"/>
            <w:highlight w:val="none"/>
            <w:lang w:val="en-US"/>
          </w:rPr>
          <m:t>×</m:t>
        </m:r>
        <m:sSub>
          <m:sSubPr>
            <m:ctrlPr>
              <w:rPr>
                <w:rFonts w:hint="default" w:ascii="Cambria Math" w:hAnsi="Cambria Math" w:cs="Times New Roman"/>
                <w:i/>
                <w:sz w:val="24"/>
                <w:szCs w:val="24"/>
                <w:highlight w:val="none"/>
                <w:lang w:val="en-US" w:eastAsia="zh-CN"/>
              </w:rPr>
            </m:ctrlPr>
          </m:sSubPr>
          <m:e>
            <m:r>
              <m:rPr/>
              <w:rPr>
                <w:rFonts w:hint="default" w:ascii="Cambria Math" w:hAnsi="Cambria Math" w:cs="Times New Roman"/>
                <w:sz w:val="24"/>
                <w:szCs w:val="24"/>
                <w:highlight w:val="none"/>
                <w:lang w:val="en-US"/>
              </w:rPr>
              <m:t>φ</m:t>
            </m:r>
            <m:ctrlPr>
              <w:rPr>
                <w:rFonts w:hint="default" w:ascii="Cambria Math" w:hAnsi="Cambria Math" w:cs="Times New Roman"/>
                <w:i/>
                <w:sz w:val="24"/>
                <w:szCs w:val="24"/>
                <w:highlight w:val="none"/>
                <w:lang w:val="en-US" w:eastAsia="zh-CN"/>
              </w:rPr>
            </m:ctrlPr>
          </m:e>
          <m:sub>
            <m:r>
              <m:rPr/>
              <w:rPr>
                <w:rFonts w:hint="default" w:ascii="Cambria Math" w:hAnsi="Cambria Math" w:cs="Times New Roman"/>
                <w:sz w:val="24"/>
                <w:szCs w:val="24"/>
                <w:highlight w:val="none"/>
                <w:lang w:val="en-US" w:eastAsia="zh-CN"/>
              </w:rPr>
              <m:t>j</m:t>
            </m:r>
            <m:ctrlPr>
              <w:rPr>
                <w:rFonts w:hint="default" w:ascii="Cambria Math" w:hAnsi="Cambria Math" w:cs="Times New Roman"/>
                <w:i/>
                <w:sz w:val="24"/>
                <w:szCs w:val="24"/>
                <w:highlight w:val="none"/>
                <w:lang w:val="en-US" w:eastAsia="zh-CN"/>
              </w:rPr>
            </m:ctrlPr>
          </m:sub>
        </m:sSub>
      </m:oMath>
      <w:r>
        <w:rPr>
          <w:rFonts w:hint="default" w:ascii="Times New Roman" w:hAnsi="Times New Roman" w:cs="Times New Roman"/>
          <w:i w:val="0"/>
          <w:sz w:val="24"/>
          <w:szCs w:val="24"/>
          <w:highlight w:val="none"/>
          <w:lang w:val="en-US" w:eastAsia="zh-CN"/>
        </w:rPr>
        <w:t xml:space="preserve">                                </w:t>
      </w:r>
      <w:r>
        <w:rPr>
          <w:rFonts w:hint="default" w:ascii="Times New Roman" w:hAnsi="Times New Roman" w:cs="Times New Roman"/>
          <w:i w:val="0"/>
          <w:sz w:val="21"/>
          <w:szCs w:val="21"/>
          <w:highlight w:val="none"/>
          <w:lang w:val="en-US" w:eastAsia="zh-CN"/>
        </w:rPr>
        <w:t>（3）</w:t>
      </w:r>
    </w:p>
    <w:p w14:paraId="539D191E">
      <w:pPr>
        <w:pStyle w:val="56"/>
        <w:ind w:firstLine="42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式中：</w:t>
      </w:r>
    </w:p>
    <w:p w14:paraId="7AA9786A">
      <w:pPr>
        <w:pStyle w:val="56"/>
        <w:ind w:firstLine="420"/>
        <w:rPr>
          <w:rFonts w:hint="default" w:ascii="Times New Roman" w:hAnsi="Times New Roman" w:cs="Times New Roman"/>
          <w:i w:val="0"/>
          <w:sz w:val="21"/>
          <w:szCs w:val="21"/>
          <w:highlight w:val="none"/>
          <w:lang w:val="en-US" w:eastAsia="zh-CN"/>
        </w:rPr>
      </w:pPr>
      <m:oMath>
        <m:r>
          <m:rPr>
            <m:sty m:val="p"/>
          </m:rPr>
          <w:rPr>
            <w:rFonts w:hint="default" w:ascii="Cambria Math" w:hAnsi="Cambria Math" w:eastAsia="宋体" w:cs="Times New Roman"/>
            <w:highlight w:val="none"/>
            <w:lang w:val="en-US" w:eastAsia="zh-CN"/>
          </w:rPr>
          <m:t>φ</m:t>
        </m:r>
      </m:oMath>
      <w:r>
        <w:rPr>
          <w:rFonts w:hint="default" w:ascii="Times New Roman" w:hAnsi="Times New Roman" w:eastAsia="宋体" w:cs="Times New Roman"/>
          <w:i/>
          <w:iCs/>
          <w:color w:val="auto"/>
          <w:sz w:val="21"/>
          <w:szCs w:val="21"/>
          <w:highlight w:val="none"/>
          <w:vertAlign w:val="baseline"/>
          <w:lang w:val="en-US" w:eastAsia="zh-CN"/>
        </w:rPr>
        <w:t xml:space="preserve"> </w:t>
      </w:r>
      <w:r>
        <w:rPr>
          <w:rFonts w:hint="default" w:ascii="Times New Roman" w:hAnsi="Times New Roman" w:cs="Times New Roman"/>
          <w:i w:val="0"/>
          <w:sz w:val="21"/>
          <w:szCs w:val="21"/>
          <w:highlight w:val="none"/>
          <w:lang w:val="en-US" w:eastAsia="zh-CN"/>
        </w:rPr>
        <w:t>—— 最终产品中的镍、钴、锰、锂、铁、磷元素总回收率；</w:t>
      </w:r>
    </w:p>
    <w:p w14:paraId="79FF60C5">
      <w:pPr>
        <w:pStyle w:val="56"/>
        <w:ind w:firstLine="420"/>
        <w:rPr>
          <w:rFonts w:hint="default" w:ascii="Times New Roman" w:hAnsi="Times New Roman" w:cs="Times New Roman"/>
          <w:i w:val="0"/>
          <w:sz w:val="21"/>
          <w:szCs w:val="21"/>
          <w:highlight w:val="none"/>
          <w:lang w:val="en-US" w:eastAsia="zh-CN"/>
        </w:rPr>
      </w:pPr>
      <m:oMath>
        <m:sSub>
          <m:sSubPr>
            <m:ctrlPr>
              <w:rPr>
                <w:rFonts w:hint="default" w:ascii="Cambria Math" w:hAnsi="Cambria Math" w:cs="Times New Roman"/>
                <w:i/>
                <w:sz w:val="21"/>
                <w:szCs w:val="21"/>
                <w:highlight w:val="none"/>
                <w:lang w:val="en-US" w:eastAsia="zh-CN"/>
              </w:rPr>
            </m:ctrlPr>
          </m:sSubPr>
          <m:e>
            <m:r>
              <m:rPr/>
              <w:rPr>
                <w:rFonts w:hint="default" w:ascii="Cambria Math" w:hAnsi="Cambria Math" w:cs="Times New Roman"/>
                <w:sz w:val="21"/>
                <w:szCs w:val="21"/>
                <w:highlight w:val="none"/>
                <w:lang w:val="en-US"/>
              </w:rPr>
              <m:t>φ</m:t>
            </m:r>
            <m:ctrlPr>
              <w:rPr>
                <w:rFonts w:hint="default" w:ascii="Cambria Math" w:hAnsi="Cambria Math" w:cs="Times New Roman"/>
                <w:i/>
                <w:sz w:val="21"/>
                <w:szCs w:val="21"/>
                <w:highlight w:val="none"/>
                <w:lang w:val="en-US" w:eastAsia="zh-CN"/>
              </w:rPr>
            </m:ctrlPr>
          </m:e>
          <m:sub>
            <m:r>
              <m:rPr/>
              <w:rPr>
                <w:rFonts w:hint="default" w:ascii="Cambria Math" w:hAnsi="Cambria Math" w:cs="Times New Roman"/>
                <w:sz w:val="21"/>
                <w:szCs w:val="21"/>
                <w:highlight w:val="none"/>
                <w:lang w:val="en-US" w:eastAsia="zh-CN"/>
              </w:rPr>
              <m:t>i</m:t>
            </m:r>
            <m:ctrlPr>
              <w:rPr>
                <w:rFonts w:hint="default" w:ascii="Cambria Math" w:hAnsi="Cambria Math" w:cs="Times New Roman"/>
                <w:i/>
                <w:sz w:val="21"/>
                <w:szCs w:val="21"/>
                <w:highlight w:val="none"/>
                <w:lang w:val="en-US" w:eastAsia="zh-CN"/>
              </w:rPr>
            </m:ctrlPr>
          </m:sub>
        </m:sSub>
      </m:oMath>
      <w:r>
        <w:rPr>
          <w:rFonts w:hint="default" w:ascii="Times New Roman" w:hAnsi="Times New Roman" w:cs="Times New Roman"/>
          <w:i w:val="0"/>
          <w:sz w:val="24"/>
          <w:szCs w:val="24"/>
          <w:highlight w:val="none"/>
          <w:lang w:val="en-US" w:eastAsia="zh-CN"/>
        </w:rPr>
        <w:t xml:space="preserve"> </w:t>
      </w:r>
      <w:r>
        <w:rPr>
          <w:rFonts w:hint="default" w:ascii="Times New Roman" w:hAnsi="Times New Roman" w:cs="Times New Roman"/>
          <w:i w:val="0"/>
          <w:sz w:val="21"/>
          <w:szCs w:val="21"/>
          <w:highlight w:val="none"/>
          <w:lang w:val="en-US" w:eastAsia="zh-CN"/>
        </w:rPr>
        <w:t>—— 拆解、焙烧、破碎分选阶段</w:t>
      </w:r>
      <w:r>
        <w:rPr>
          <w:rFonts w:hint="default" w:ascii="Times New Roman" w:hAnsi="Times New Roman" w:eastAsia="宋体" w:cs="Times New Roman"/>
          <w:b w:val="0"/>
          <w:bCs w:val="0"/>
          <w:i/>
          <w:iCs/>
          <w:color w:val="auto"/>
          <w:sz w:val="21"/>
          <w:szCs w:val="21"/>
          <w:highlight w:val="none"/>
          <w:lang w:val="en-US" w:eastAsia="zh-CN"/>
        </w:rPr>
        <w:t>i</w:t>
      </w:r>
      <w:r>
        <w:rPr>
          <w:rFonts w:hint="default" w:ascii="Times New Roman" w:hAnsi="Times New Roman" w:cs="Times New Roman"/>
          <w:i w:val="0"/>
          <w:sz w:val="21"/>
          <w:szCs w:val="21"/>
          <w:highlight w:val="none"/>
          <w:lang w:val="en-US" w:eastAsia="zh-CN"/>
        </w:rPr>
        <w:t>（镍、钴、锰、锂、铁、磷）元素回收率；</w:t>
      </w:r>
    </w:p>
    <w:p w14:paraId="3F0BB605">
      <w:pPr>
        <w:pStyle w:val="56"/>
        <w:ind w:firstLine="420"/>
        <w:rPr>
          <w:rFonts w:hint="default" w:ascii="Times New Roman" w:hAnsi="Times New Roman" w:cs="Times New Roman"/>
          <w:i w:val="0"/>
          <w:sz w:val="21"/>
          <w:szCs w:val="21"/>
          <w:highlight w:val="none"/>
          <w:lang w:val="en-US" w:eastAsia="zh-CN"/>
        </w:rPr>
      </w:pPr>
      <m:oMath>
        <m:sSub>
          <m:sSubPr>
            <m:ctrlPr>
              <w:rPr>
                <w:rFonts w:hint="default" w:ascii="Cambria Math" w:hAnsi="Cambria Math" w:cs="Times New Roman"/>
                <w:i/>
                <w:sz w:val="21"/>
                <w:szCs w:val="21"/>
                <w:highlight w:val="none"/>
                <w:lang w:val="en-US" w:eastAsia="zh-CN"/>
              </w:rPr>
            </m:ctrlPr>
          </m:sSubPr>
          <m:e>
            <m:r>
              <m:rPr/>
              <w:rPr>
                <w:rFonts w:hint="default" w:ascii="Cambria Math" w:hAnsi="Cambria Math" w:cs="Times New Roman"/>
                <w:sz w:val="21"/>
                <w:szCs w:val="21"/>
                <w:highlight w:val="none"/>
                <w:lang w:val="en-US"/>
              </w:rPr>
              <m:t>φ</m:t>
            </m:r>
            <m:ctrlPr>
              <w:rPr>
                <w:rFonts w:hint="default" w:ascii="Cambria Math" w:hAnsi="Cambria Math" w:cs="Times New Roman"/>
                <w:i/>
                <w:sz w:val="21"/>
                <w:szCs w:val="21"/>
                <w:highlight w:val="none"/>
                <w:lang w:val="en-US" w:eastAsia="zh-CN"/>
              </w:rPr>
            </m:ctrlPr>
          </m:e>
          <m:sub>
            <m:r>
              <m:rPr/>
              <w:rPr>
                <w:rFonts w:hint="default" w:ascii="Cambria Math" w:hAnsi="Cambria Math" w:cs="Times New Roman"/>
                <w:sz w:val="21"/>
                <w:szCs w:val="21"/>
                <w:highlight w:val="none"/>
                <w:lang w:val="en-US" w:eastAsia="zh-CN"/>
              </w:rPr>
              <m:t>j</m:t>
            </m:r>
            <m:ctrlPr>
              <w:rPr>
                <w:rFonts w:hint="default" w:ascii="Cambria Math" w:hAnsi="Cambria Math" w:cs="Times New Roman"/>
                <w:i/>
                <w:sz w:val="21"/>
                <w:szCs w:val="21"/>
                <w:highlight w:val="none"/>
                <w:lang w:val="en-US" w:eastAsia="zh-CN"/>
              </w:rPr>
            </m:ctrlPr>
          </m:sub>
        </m:sSub>
      </m:oMath>
      <w:r>
        <w:rPr>
          <w:rFonts w:hint="default" w:ascii="Times New Roman" w:hAnsi="Times New Roman" w:cs="Times New Roman"/>
          <w:i w:val="0"/>
          <w:sz w:val="24"/>
          <w:szCs w:val="24"/>
          <w:highlight w:val="none"/>
          <w:lang w:val="en-US" w:eastAsia="zh-CN"/>
        </w:rPr>
        <w:t xml:space="preserve"> </w:t>
      </w:r>
      <w:r>
        <w:rPr>
          <w:rFonts w:hint="default" w:ascii="Times New Roman" w:hAnsi="Times New Roman" w:cs="Times New Roman"/>
          <w:i w:val="0"/>
          <w:sz w:val="21"/>
          <w:szCs w:val="21"/>
          <w:highlight w:val="none"/>
          <w:lang w:val="en-US" w:eastAsia="zh-CN"/>
        </w:rPr>
        <w:t>—— 材料回收</w:t>
      </w:r>
      <w:r>
        <w:rPr>
          <w:rFonts w:hint="default" w:ascii="Times New Roman" w:hAnsi="Times New Roman" w:eastAsia="宋体" w:cs="Times New Roman"/>
          <w:i w:val="0"/>
          <w:sz w:val="21"/>
          <w:szCs w:val="21"/>
          <w:highlight w:val="none"/>
          <w:lang w:val="en-US" w:eastAsia="zh-CN"/>
        </w:rPr>
        <w:t>阶段</w:t>
      </w:r>
      <w:r>
        <w:rPr>
          <w:rFonts w:hint="default" w:ascii="Times New Roman" w:hAnsi="Times New Roman" w:eastAsia="宋体" w:cs="Times New Roman"/>
          <w:b w:val="0"/>
          <w:bCs w:val="0"/>
          <w:i/>
          <w:iCs/>
          <w:color w:val="auto"/>
          <w:sz w:val="21"/>
          <w:szCs w:val="21"/>
          <w:highlight w:val="none"/>
          <w:lang w:val="en-US" w:eastAsia="zh-CN"/>
        </w:rPr>
        <w:t>j</w:t>
      </w:r>
      <w:r>
        <w:rPr>
          <w:rFonts w:hint="default" w:ascii="Times New Roman" w:hAnsi="Times New Roman" w:cs="Times New Roman"/>
          <w:i w:val="0"/>
          <w:sz w:val="21"/>
          <w:szCs w:val="21"/>
          <w:highlight w:val="none"/>
          <w:lang w:val="en-US" w:eastAsia="zh-CN"/>
        </w:rPr>
        <w:t>（镍、钴、锰、锂、铁、磷）元素回收率。</w:t>
      </w:r>
    </w:p>
    <w:p w14:paraId="3AFDC932">
      <w:pPr>
        <w:pStyle w:val="104"/>
        <w:spacing w:before="312" w:after="312"/>
        <w:rPr>
          <w:rFonts w:hint="eastAsia" w:ascii="黑体" w:hAnsi="黑体" w:eastAsia="黑体" w:cs="Times New Roman"/>
          <w:lang w:val="en-US" w:eastAsia="zh-CN"/>
        </w:rPr>
      </w:pPr>
      <w:bookmarkStart w:id="59" w:name="_Toc30611"/>
      <w:r>
        <w:rPr>
          <w:rFonts w:hint="eastAsia" w:ascii="黑体" w:hAnsi="黑体" w:eastAsia="黑体" w:cs="Times New Roman"/>
          <w:lang w:val="en-US" w:eastAsia="zh-CN"/>
        </w:rPr>
        <w:t>生产过程环境管理</w:t>
      </w:r>
      <w:bookmarkEnd w:id="59"/>
    </w:p>
    <w:p w14:paraId="54D00AC2">
      <w:pPr>
        <w:pStyle w:val="162"/>
        <w:rPr>
          <w:rFonts w:hint="default" w:ascii="Times New Roman" w:hAnsi="Times New Roman" w:eastAsia="宋体" w:cs="Times New Roman"/>
        </w:rPr>
      </w:pPr>
      <w:r>
        <w:rPr>
          <w:rFonts w:hint="default" w:ascii="Times New Roman" w:hAnsi="Times New Roman" w:eastAsia="宋体" w:cs="Times New Roman"/>
        </w:rPr>
        <w:t>每个生产工序应有操作规程，重点岗位应有作业指导书。</w:t>
      </w:r>
    </w:p>
    <w:p w14:paraId="2A066814">
      <w:pPr>
        <w:pStyle w:val="162"/>
        <w:rPr>
          <w:rFonts w:hint="default" w:ascii="Times New Roman" w:hAnsi="Times New Roman" w:eastAsia="宋体" w:cs="Times New Roman"/>
        </w:rPr>
      </w:pPr>
      <w:r>
        <w:rPr>
          <w:rFonts w:hint="default" w:ascii="Times New Roman" w:hAnsi="Times New Roman" w:eastAsia="宋体" w:cs="Times New Roman"/>
        </w:rPr>
        <w:t>应对生产操作人员、技术人员和管理人员进行环境保护相关的法律法规、环境应急处理等理论知识和操作技能培训，相关人员应经考核评定为合格及以上。</w:t>
      </w:r>
    </w:p>
    <w:p w14:paraId="27870B18">
      <w:pPr>
        <w:pStyle w:val="162"/>
        <w:rPr>
          <w:rFonts w:hint="default" w:ascii="Times New Roman" w:hAnsi="Times New Roman" w:eastAsia="宋体" w:cs="Times New Roman"/>
        </w:rPr>
      </w:pPr>
      <w:r>
        <w:rPr>
          <w:rFonts w:hint="default" w:ascii="Times New Roman" w:hAnsi="Times New Roman" w:eastAsia="宋体" w:cs="Times New Roman"/>
        </w:rPr>
        <w:t>易造成污染的生产设备、废弃物存放区、废物排放部位等重点位置区域应放置警示牌。</w:t>
      </w:r>
    </w:p>
    <w:p w14:paraId="49D6A8E6">
      <w:pPr>
        <w:pStyle w:val="162"/>
        <w:rPr>
          <w:rFonts w:hint="default" w:ascii="Times New Roman" w:hAnsi="Times New Roman" w:eastAsia="宋体" w:cs="Times New Roman"/>
        </w:rPr>
      </w:pPr>
      <w:r>
        <w:rPr>
          <w:rFonts w:hint="default" w:ascii="Times New Roman" w:hAnsi="Times New Roman" w:eastAsia="宋体" w:cs="Times New Roman"/>
        </w:rPr>
        <w:t>应建立覆盖各个生产环节工序的满足GB/T 24001要求的环境管理制度体系。</w:t>
      </w:r>
    </w:p>
    <w:p w14:paraId="53A65A42">
      <w:pPr>
        <w:pStyle w:val="162"/>
        <w:rPr>
          <w:rFonts w:ascii="Times New Roman"/>
        </w:rPr>
      </w:pPr>
      <w:r>
        <w:rPr>
          <w:rFonts w:hint="default" w:ascii="Times New Roman" w:hAnsi="Times New Roman" w:eastAsia="宋体" w:cs="Times New Roman"/>
        </w:rPr>
        <w:t>应对主要污染物排放情况进行自主监测，并保存原始监测记录，排放限值和监测要求。</w:t>
      </w:r>
      <w:r>
        <w:rPr>
          <w:rFonts w:ascii="Times New Roman"/>
        </w:rPr>
        <w:br w:type="page"/>
      </w:r>
    </w:p>
    <w:bookmarkEnd w:id="52"/>
    <w:p w14:paraId="066DC138">
      <w:pPr>
        <w:pStyle w:val="76"/>
        <w:spacing w:after="156"/>
        <w:rPr>
          <w:rFonts w:hint="eastAsia" w:ascii="黑体" w:hAnsi="黑体" w:eastAsia="黑体" w:cs="黑体"/>
          <w:b w:val="0"/>
          <w:bCs w:val="0"/>
        </w:rPr>
      </w:pPr>
      <w:bookmarkStart w:id="60" w:name="_Toc7394"/>
      <w:r>
        <w:br w:type="textWrapping"/>
      </w:r>
      <w:r>
        <w:rPr>
          <w:rFonts w:hint="eastAsia"/>
        </w:rPr>
        <w:t>（规范性）</w:t>
      </w:r>
      <w:r>
        <w:br w:type="textWrapping"/>
      </w:r>
      <w:r>
        <w:rPr>
          <w:rFonts w:hint="eastAsia" w:ascii="黑体" w:hAnsi="黑体" w:eastAsia="黑体" w:cs="黑体"/>
          <w:b w:val="0"/>
          <w:bCs w:val="0"/>
        </w:rPr>
        <w:t>企业废气排放限值及监测要求</w:t>
      </w:r>
      <w:bookmarkEnd w:id="60"/>
    </w:p>
    <w:p w14:paraId="25D22A40">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jc w:val="center"/>
        <w:textAlignment w:val="auto"/>
        <w:rPr>
          <w:rFonts w:hint="default"/>
          <w:lang w:val="en-US" w:eastAsia="zh-CN"/>
        </w:rPr>
      </w:pPr>
      <w:r>
        <w:rPr>
          <w:rFonts w:hint="eastAsia" w:ascii="黑体" w:hAnsi="黑体" w:eastAsia="黑体" w:cs="黑体"/>
          <w:b w:val="0"/>
          <w:bCs w:val="0"/>
          <w:lang w:val="en-US" w:eastAsia="zh-CN"/>
        </w:rPr>
        <w:t xml:space="preserve">表A.1 </w:t>
      </w:r>
      <w:r>
        <w:rPr>
          <w:rFonts w:hint="eastAsia" w:ascii="黑体" w:hAnsi="黑体" w:eastAsia="黑体" w:cs="黑体"/>
          <w:b w:val="0"/>
          <w:bCs w:val="0"/>
        </w:rPr>
        <w:t>企业废气排放限值及监测要求</w:t>
      </w:r>
    </w:p>
    <w:tbl>
      <w:tblPr>
        <w:tblStyle w:val="231"/>
        <w:tblW w:w="509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12"/>
        <w:gridCol w:w="1268"/>
        <w:gridCol w:w="2041"/>
        <w:gridCol w:w="1953"/>
        <w:gridCol w:w="1774"/>
        <w:gridCol w:w="1298"/>
      </w:tblGrid>
      <w:tr w14:paraId="0DDAAB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0" w:hRule="atLeast"/>
          <w:jc w:val="center"/>
        </w:trPr>
        <w:tc>
          <w:tcPr>
            <w:tcW w:w="635" w:type="pct"/>
            <w:tcBorders>
              <w:top w:val="single" w:color="auto" w:sz="4" w:space="0"/>
              <w:left w:val="single" w:color="auto" w:sz="4" w:space="0"/>
              <w:bottom w:val="single" w:color="auto" w:sz="4" w:space="0"/>
              <w:right w:val="single" w:color="auto" w:sz="4" w:space="0"/>
            </w:tcBorders>
            <w:vAlign w:val="center"/>
          </w:tcPr>
          <w:p w14:paraId="3DA0452D">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工艺类型</w:t>
            </w:r>
          </w:p>
        </w:tc>
        <w:tc>
          <w:tcPr>
            <w:tcW w:w="664" w:type="pct"/>
            <w:tcBorders>
              <w:top w:val="single" w:color="auto" w:sz="4" w:space="0"/>
              <w:left w:val="single" w:color="auto" w:sz="4" w:space="0"/>
              <w:bottom w:val="single" w:color="auto" w:sz="4" w:space="0"/>
              <w:right w:val="single" w:color="auto" w:sz="4" w:space="0"/>
            </w:tcBorders>
            <w:vAlign w:val="center"/>
          </w:tcPr>
          <w:p w14:paraId="73B750E2">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产排污节点</w:t>
            </w:r>
          </w:p>
        </w:tc>
        <w:tc>
          <w:tcPr>
            <w:tcW w:w="1068" w:type="pct"/>
            <w:tcBorders>
              <w:top w:val="single" w:color="auto" w:sz="4" w:space="0"/>
              <w:left w:val="single" w:color="auto" w:sz="4" w:space="0"/>
              <w:bottom w:val="single" w:color="auto" w:sz="4" w:space="0"/>
              <w:right w:val="single" w:color="auto" w:sz="4" w:space="0"/>
            </w:tcBorders>
            <w:vAlign w:val="center"/>
          </w:tcPr>
          <w:p w14:paraId="6F765325">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监测点位</w:t>
            </w:r>
          </w:p>
        </w:tc>
        <w:tc>
          <w:tcPr>
            <w:tcW w:w="1023" w:type="pct"/>
            <w:tcBorders>
              <w:top w:val="single" w:color="auto" w:sz="4" w:space="0"/>
              <w:left w:val="single" w:color="auto" w:sz="4" w:space="0"/>
              <w:bottom w:val="single" w:color="auto" w:sz="4" w:space="0"/>
              <w:right w:val="single" w:color="auto" w:sz="4" w:space="0"/>
            </w:tcBorders>
            <w:vAlign w:val="center"/>
          </w:tcPr>
          <w:p w14:paraId="78319602">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监测指标</w:t>
            </w:r>
          </w:p>
        </w:tc>
        <w:tc>
          <w:tcPr>
            <w:tcW w:w="929" w:type="pct"/>
            <w:tcBorders>
              <w:top w:val="single" w:color="auto" w:sz="4" w:space="0"/>
              <w:left w:val="single" w:color="auto" w:sz="4" w:space="0"/>
              <w:bottom w:val="single" w:color="auto" w:sz="4" w:space="0"/>
              <w:right w:val="single" w:color="auto" w:sz="4" w:space="0"/>
            </w:tcBorders>
            <w:vAlign w:val="center"/>
          </w:tcPr>
          <w:p w14:paraId="02D41BBE">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最低监测频次</w:t>
            </w:r>
          </w:p>
        </w:tc>
        <w:tc>
          <w:tcPr>
            <w:tcW w:w="677" w:type="pct"/>
            <w:tcBorders>
              <w:top w:val="single" w:color="auto" w:sz="4" w:space="0"/>
              <w:left w:val="single" w:color="auto" w:sz="4" w:space="0"/>
              <w:bottom w:val="single" w:color="auto" w:sz="4" w:space="0"/>
              <w:right w:val="single" w:color="auto" w:sz="4" w:space="0"/>
            </w:tcBorders>
            <w:vAlign w:val="center"/>
          </w:tcPr>
          <w:p w14:paraId="7B00C856">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排放限值</w:t>
            </w:r>
          </w:p>
        </w:tc>
      </w:tr>
      <w:tr w14:paraId="74B19D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 w:hRule="atLeast"/>
          <w:jc w:val="center"/>
        </w:trPr>
        <w:tc>
          <w:tcPr>
            <w:tcW w:w="5000" w:type="pct"/>
            <w:gridSpan w:val="6"/>
            <w:tcBorders>
              <w:top w:val="single" w:color="auto" w:sz="4" w:space="0"/>
            </w:tcBorders>
            <w:vAlign w:val="center"/>
          </w:tcPr>
          <w:p w14:paraId="267E2BE7">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废气有组织排放</w:t>
            </w:r>
          </w:p>
        </w:tc>
      </w:tr>
      <w:tr w14:paraId="6E6AB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jc w:val="center"/>
        </w:trPr>
        <w:tc>
          <w:tcPr>
            <w:tcW w:w="635" w:type="pct"/>
            <w:vMerge w:val="restart"/>
            <w:tcBorders>
              <w:bottom w:val="nil"/>
            </w:tcBorders>
            <w:vAlign w:val="center"/>
          </w:tcPr>
          <w:p w14:paraId="0C312099">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拆解、焙烧、 破碎、分选工艺</w:t>
            </w:r>
          </w:p>
        </w:tc>
        <w:tc>
          <w:tcPr>
            <w:tcW w:w="664" w:type="pct"/>
            <w:vMerge w:val="restart"/>
            <w:vAlign w:val="center"/>
          </w:tcPr>
          <w:p w14:paraId="6F9510F7">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拆解</w:t>
            </w:r>
          </w:p>
        </w:tc>
        <w:tc>
          <w:tcPr>
            <w:tcW w:w="1068" w:type="pct"/>
            <w:vMerge w:val="restart"/>
            <w:vAlign w:val="center"/>
          </w:tcPr>
          <w:p w14:paraId="7BC5FC0F">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集气设施排气筒</w:t>
            </w:r>
          </w:p>
        </w:tc>
        <w:tc>
          <w:tcPr>
            <w:tcW w:w="1023" w:type="pct"/>
            <w:vAlign w:val="center"/>
          </w:tcPr>
          <w:p w14:paraId="1645CDB1">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氟化物</w:t>
            </w:r>
          </w:p>
        </w:tc>
        <w:tc>
          <w:tcPr>
            <w:tcW w:w="929" w:type="pct"/>
            <w:vMerge w:val="restart"/>
            <w:vAlign w:val="center"/>
          </w:tcPr>
          <w:p w14:paraId="76DE337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w:t>
            </w:r>
          </w:p>
        </w:tc>
        <w:tc>
          <w:tcPr>
            <w:tcW w:w="677" w:type="pct"/>
            <w:vAlign w:val="center"/>
          </w:tcPr>
          <w:p w14:paraId="6B04815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16297</w:t>
            </w:r>
          </w:p>
        </w:tc>
      </w:tr>
      <w:tr w14:paraId="5B91E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 w:hRule="atLeast"/>
          <w:jc w:val="center"/>
        </w:trPr>
        <w:tc>
          <w:tcPr>
            <w:tcW w:w="635" w:type="pct"/>
            <w:vMerge w:val="continue"/>
            <w:vAlign w:val="center"/>
          </w:tcPr>
          <w:p w14:paraId="2EDF97E5">
            <w:pPr>
              <w:jc w:val="center"/>
              <w:rPr>
                <w:rFonts w:hint="default" w:ascii="Times New Roman" w:hAnsi="Times New Roman" w:eastAsia="宋体" w:cs="Times New Roman"/>
                <w:sz w:val="18"/>
                <w:szCs w:val="18"/>
              </w:rPr>
            </w:pPr>
          </w:p>
        </w:tc>
        <w:tc>
          <w:tcPr>
            <w:tcW w:w="664" w:type="pct"/>
            <w:vMerge w:val="continue"/>
            <w:vAlign w:val="center"/>
          </w:tcPr>
          <w:p w14:paraId="48022EBC">
            <w:pPr>
              <w:jc w:val="center"/>
              <w:rPr>
                <w:rFonts w:hint="default" w:ascii="Times New Roman" w:hAnsi="Times New Roman" w:eastAsia="宋体" w:cs="Times New Roman"/>
                <w:sz w:val="18"/>
                <w:szCs w:val="18"/>
              </w:rPr>
            </w:pPr>
          </w:p>
        </w:tc>
        <w:tc>
          <w:tcPr>
            <w:tcW w:w="1068" w:type="pct"/>
            <w:vMerge w:val="continue"/>
            <w:vAlign w:val="center"/>
          </w:tcPr>
          <w:p w14:paraId="569D2CDE">
            <w:pPr>
              <w:jc w:val="center"/>
              <w:rPr>
                <w:rFonts w:hint="default" w:ascii="Times New Roman" w:hAnsi="Times New Roman" w:eastAsia="宋体" w:cs="Times New Roman"/>
                <w:sz w:val="18"/>
                <w:szCs w:val="18"/>
              </w:rPr>
            </w:pPr>
          </w:p>
        </w:tc>
        <w:tc>
          <w:tcPr>
            <w:tcW w:w="1023" w:type="pct"/>
            <w:vAlign w:val="center"/>
          </w:tcPr>
          <w:p w14:paraId="04FB0CF6">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颗粒物</w:t>
            </w:r>
          </w:p>
        </w:tc>
        <w:tc>
          <w:tcPr>
            <w:tcW w:w="929" w:type="pct"/>
            <w:vMerge w:val="continue"/>
            <w:vAlign w:val="center"/>
          </w:tcPr>
          <w:p w14:paraId="1C4418D6">
            <w:pPr>
              <w:jc w:val="center"/>
              <w:rPr>
                <w:rFonts w:hint="default" w:ascii="Times New Roman" w:hAnsi="Times New Roman" w:eastAsia="宋体" w:cs="Times New Roman"/>
                <w:sz w:val="18"/>
                <w:szCs w:val="18"/>
              </w:rPr>
            </w:pPr>
          </w:p>
        </w:tc>
        <w:tc>
          <w:tcPr>
            <w:tcW w:w="677" w:type="pct"/>
            <w:vMerge w:val="restart"/>
            <w:vAlign w:val="center"/>
          </w:tcPr>
          <w:p w14:paraId="43DBA47E">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GB 30484</w:t>
            </w:r>
          </w:p>
        </w:tc>
      </w:tr>
      <w:tr w14:paraId="2A4D94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 w:hRule="atLeast"/>
          <w:jc w:val="center"/>
        </w:trPr>
        <w:tc>
          <w:tcPr>
            <w:tcW w:w="635" w:type="pct"/>
            <w:vMerge w:val="continue"/>
            <w:vAlign w:val="center"/>
          </w:tcPr>
          <w:p w14:paraId="09A993A8">
            <w:pPr>
              <w:jc w:val="center"/>
              <w:rPr>
                <w:rFonts w:hint="default" w:ascii="Times New Roman" w:hAnsi="Times New Roman" w:eastAsia="宋体" w:cs="Times New Roman"/>
                <w:sz w:val="18"/>
                <w:szCs w:val="18"/>
              </w:rPr>
            </w:pPr>
          </w:p>
        </w:tc>
        <w:tc>
          <w:tcPr>
            <w:tcW w:w="664" w:type="pct"/>
            <w:vMerge w:val="continue"/>
            <w:vAlign w:val="center"/>
          </w:tcPr>
          <w:p w14:paraId="36511138">
            <w:pPr>
              <w:jc w:val="center"/>
              <w:rPr>
                <w:rFonts w:hint="default" w:ascii="Times New Roman" w:hAnsi="Times New Roman" w:eastAsia="宋体" w:cs="Times New Roman"/>
                <w:sz w:val="18"/>
                <w:szCs w:val="18"/>
              </w:rPr>
            </w:pPr>
          </w:p>
        </w:tc>
        <w:tc>
          <w:tcPr>
            <w:tcW w:w="1068" w:type="pct"/>
            <w:vMerge w:val="continue"/>
            <w:vAlign w:val="center"/>
          </w:tcPr>
          <w:p w14:paraId="2751E8BB">
            <w:pPr>
              <w:jc w:val="center"/>
              <w:rPr>
                <w:rFonts w:hint="default" w:ascii="Times New Roman" w:hAnsi="Times New Roman" w:eastAsia="宋体" w:cs="Times New Roman"/>
                <w:sz w:val="18"/>
                <w:szCs w:val="18"/>
              </w:rPr>
            </w:pPr>
          </w:p>
        </w:tc>
        <w:tc>
          <w:tcPr>
            <w:tcW w:w="1023" w:type="pct"/>
            <w:vAlign w:val="center"/>
          </w:tcPr>
          <w:p w14:paraId="63B271D5">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非甲烷总烃</w:t>
            </w:r>
          </w:p>
        </w:tc>
        <w:tc>
          <w:tcPr>
            <w:tcW w:w="929" w:type="pct"/>
            <w:vMerge w:val="continue"/>
            <w:vAlign w:val="center"/>
          </w:tcPr>
          <w:p w14:paraId="648CA7C8">
            <w:pPr>
              <w:jc w:val="center"/>
              <w:rPr>
                <w:rFonts w:hint="default" w:ascii="Times New Roman" w:hAnsi="Times New Roman" w:eastAsia="宋体" w:cs="Times New Roman"/>
                <w:sz w:val="18"/>
                <w:szCs w:val="18"/>
              </w:rPr>
            </w:pPr>
          </w:p>
        </w:tc>
        <w:tc>
          <w:tcPr>
            <w:tcW w:w="677" w:type="pct"/>
            <w:vMerge w:val="continue"/>
            <w:vAlign w:val="center"/>
          </w:tcPr>
          <w:p w14:paraId="035AB486">
            <w:pPr>
              <w:jc w:val="center"/>
              <w:rPr>
                <w:rFonts w:hint="default" w:ascii="Times New Roman" w:hAnsi="Times New Roman" w:eastAsia="宋体" w:cs="Times New Roman"/>
                <w:sz w:val="18"/>
                <w:szCs w:val="18"/>
                <w:lang w:val="en-US" w:eastAsia="zh-CN"/>
              </w:rPr>
            </w:pPr>
          </w:p>
        </w:tc>
      </w:tr>
      <w:tr w14:paraId="15115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 w:hRule="atLeast"/>
          <w:jc w:val="center"/>
        </w:trPr>
        <w:tc>
          <w:tcPr>
            <w:tcW w:w="635" w:type="pct"/>
            <w:vMerge w:val="continue"/>
            <w:tcBorders>
              <w:top w:val="nil"/>
              <w:bottom w:val="nil"/>
            </w:tcBorders>
            <w:vAlign w:val="center"/>
          </w:tcPr>
          <w:p w14:paraId="669C8292">
            <w:pPr>
              <w:jc w:val="center"/>
              <w:rPr>
                <w:rFonts w:hint="default" w:ascii="Times New Roman" w:hAnsi="Times New Roman" w:eastAsia="宋体" w:cs="Times New Roman"/>
                <w:sz w:val="18"/>
                <w:szCs w:val="18"/>
              </w:rPr>
            </w:pPr>
          </w:p>
        </w:tc>
        <w:tc>
          <w:tcPr>
            <w:tcW w:w="664" w:type="pct"/>
            <w:vMerge w:val="restart"/>
            <w:tcBorders>
              <w:bottom w:val="nil"/>
            </w:tcBorders>
            <w:vAlign w:val="center"/>
          </w:tcPr>
          <w:p w14:paraId="65A262F2">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焙烧</w:t>
            </w:r>
          </w:p>
        </w:tc>
        <w:tc>
          <w:tcPr>
            <w:tcW w:w="1068" w:type="pct"/>
            <w:vMerge w:val="restart"/>
            <w:tcBorders>
              <w:bottom w:val="nil"/>
            </w:tcBorders>
            <w:vAlign w:val="center"/>
          </w:tcPr>
          <w:p w14:paraId="21C5C35D">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尾气处理设施排气筒</w:t>
            </w:r>
          </w:p>
        </w:tc>
        <w:tc>
          <w:tcPr>
            <w:tcW w:w="1023" w:type="pct"/>
            <w:vAlign w:val="center"/>
          </w:tcPr>
          <w:p w14:paraId="11FD28DB">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颗粒物</w:t>
            </w:r>
          </w:p>
        </w:tc>
        <w:tc>
          <w:tcPr>
            <w:tcW w:w="929" w:type="pct"/>
            <w:vMerge w:val="restart"/>
            <w:vAlign w:val="center"/>
          </w:tcPr>
          <w:p w14:paraId="31903E2B">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季度</w:t>
            </w:r>
          </w:p>
        </w:tc>
        <w:tc>
          <w:tcPr>
            <w:tcW w:w="677" w:type="pct"/>
            <w:vMerge w:val="restart"/>
            <w:vAlign w:val="center"/>
          </w:tcPr>
          <w:p w14:paraId="0BF71483">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GB 30484</w:t>
            </w:r>
          </w:p>
        </w:tc>
      </w:tr>
      <w:tr w14:paraId="6A141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 w:hRule="atLeast"/>
          <w:jc w:val="center"/>
        </w:trPr>
        <w:tc>
          <w:tcPr>
            <w:tcW w:w="635" w:type="pct"/>
            <w:vMerge w:val="continue"/>
            <w:tcBorders>
              <w:top w:val="nil"/>
              <w:bottom w:val="nil"/>
            </w:tcBorders>
            <w:vAlign w:val="center"/>
          </w:tcPr>
          <w:p w14:paraId="3CDA4029">
            <w:pPr>
              <w:jc w:val="center"/>
              <w:rPr>
                <w:rFonts w:hint="default" w:ascii="Times New Roman" w:hAnsi="Times New Roman" w:eastAsia="宋体" w:cs="Times New Roman"/>
                <w:sz w:val="18"/>
                <w:szCs w:val="18"/>
              </w:rPr>
            </w:pPr>
          </w:p>
        </w:tc>
        <w:tc>
          <w:tcPr>
            <w:tcW w:w="664" w:type="pct"/>
            <w:vMerge w:val="continue"/>
            <w:vAlign w:val="center"/>
          </w:tcPr>
          <w:p w14:paraId="11E61428">
            <w:pPr>
              <w:jc w:val="center"/>
              <w:rPr>
                <w:rFonts w:hint="default" w:ascii="Times New Roman" w:hAnsi="Times New Roman" w:eastAsia="宋体" w:cs="Times New Roman"/>
                <w:sz w:val="18"/>
                <w:szCs w:val="18"/>
              </w:rPr>
            </w:pPr>
          </w:p>
        </w:tc>
        <w:tc>
          <w:tcPr>
            <w:tcW w:w="1068" w:type="pct"/>
            <w:vMerge w:val="continue"/>
            <w:vAlign w:val="center"/>
          </w:tcPr>
          <w:p w14:paraId="261F493B">
            <w:pPr>
              <w:jc w:val="center"/>
              <w:rPr>
                <w:rFonts w:hint="default" w:ascii="Times New Roman" w:hAnsi="Times New Roman" w:eastAsia="宋体" w:cs="Times New Roman"/>
                <w:sz w:val="18"/>
                <w:szCs w:val="18"/>
              </w:rPr>
            </w:pPr>
          </w:p>
        </w:tc>
        <w:tc>
          <w:tcPr>
            <w:tcW w:w="1023" w:type="pct"/>
            <w:vAlign w:val="center"/>
          </w:tcPr>
          <w:p w14:paraId="362CAE15">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非甲烷总烃</w:t>
            </w:r>
          </w:p>
        </w:tc>
        <w:tc>
          <w:tcPr>
            <w:tcW w:w="929" w:type="pct"/>
            <w:vMerge w:val="continue"/>
            <w:vAlign w:val="center"/>
          </w:tcPr>
          <w:p w14:paraId="110D97B4">
            <w:pPr>
              <w:jc w:val="center"/>
              <w:rPr>
                <w:rFonts w:hint="default" w:ascii="Times New Roman" w:hAnsi="Times New Roman" w:eastAsia="宋体" w:cs="Times New Roman"/>
                <w:sz w:val="18"/>
                <w:szCs w:val="18"/>
              </w:rPr>
            </w:pPr>
          </w:p>
        </w:tc>
        <w:tc>
          <w:tcPr>
            <w:tcW w:w="677" w:type="pct"/>
            <w:vMerge w:val="continue"/>
            <w:vAlign w:val="center"/>
          </w:tcPr>
          <w:p w14:paraId="2CD5F4AA">
            <w:pPr>
              <w:jc w:val="center"/>
              <w:rPr>
                <w:rFonts w:hint="default" w:ascii="Times New Roman" w:hAnsi="Times New Roman" w:eastAsia="宋体" w:cs="Times New Roman"/>
                <w:sz w:val="18"/>
                <w:szCs w:val="18"/>
                <w:lang w:val="en-US" w:eastAsia="zh-CN"/>
              </w:rPr>
            </w:pPr>
          </w:p>
        </w:tc>
      </w:tr>
      <w:tr w14:paraId="0DF4E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 w:hRule="atLeast"/>
          <w:jc w:val="center"/>
        </w:trPr>
        <w:tc>
          <w:tcPr>
            <w:tcW w:w="635" w:type="pct"/>
            <w:vMerge w:val="continue"/>
            <w:tcBorders>
              <w:top w:val="nil"/>
              <w:bottom w:val="nil"/>
            </w:tcBorders>
            <w:vAlign w:val="center"/>
          </w:tcPr>
          <w:p w14:paraId="73FBC9C2">
            <w:pPr>
              <w:jc w:val="center"/>
              <w:rPr>
                <w:rFonts w:hint="default" w:ascii="Times New Roman" w:hAnsi="Times New Roman" w:eastAsia="宋体" w:cs="Times New Roman"/>
                <w:sz w:val="18"/>
                <w:szCs w:val="18"/>
              </w:rPr>
            </w:pPr>
          </w:p>
        </w:tc>
        <w:tc>
          <w:tcPr>
            <w:tcW w:w="664" w:type="pct"/>
            <w:vMerge w:val="continue"/>
            <w:vAlign w:val="center"/>
          </w:tcPr>
          <w:p w14:paraId="74848253">
            <w:pPr>
              <w:jc w:val="center"/>
              <w:rPr>
                <w:rFonts w:hint="default" w:ascii="Times New Roman" w:hAnsi="Times New Roman" w:eastAsia="宋体" w:cs="Times New Roman"/>
                <w:sz w:val="18"/>
                <w:szCs w:val="18"/>
              </w:rPr>
            </w:pPr>
          </w:p>
        </w:tc>
        <w:tc>
          <w:tcPr>
            <w:tcW w:w="1068" w:type="pct"/>
            <w:vMerge w:val="continue"/>
            <w:vAlign w:val="center"/>
          </w:tcPr>
          <w:p w14:paraId="0F02DAAC">
            <w:pPr>
              <w:jc w:val="center"/>
              <w:rPr>
                <w:rFonts w:hint="default" w:ascii="Times New Roman" w:hAnsi="Times New Roman" w:eastAsia="宋体" w:cs="Times New Roman"/>
                <w:sz w:val="18"/>
                <w:szCs w:val="18"/>
              </w:rPr>
            </w:pPr>
          </w:p>
        </w:tc>
        <w:tc>
          <w:tcPr>
            <w:tcW w:w="1023" w:type="pct"/>
            <w:vAlign w:val="center"/>
          </w:tcPr>
          <w:p w14:paraId="0E5372D9">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二氧化硫</w:t>
            </w:r>
          </w:p>
        </w:tc>
        <w:tc>
          <w:tcPr>
            <w:tcW w:w="929" w:type="pct"/>
            <w:vMerge w:val="continue"/>
            <w:vAlign w:val="center"/>
          </w:tcPr>
          <w:p w14:paraId="450D9ED8">
            <w:pPr>
              <w:jc w:val="center"/>
              <w:rPr>
                <w:rFonts w:hint="default" w:ascii="Times New Roman" w:hAnsi="Times New Roman" w:eastAsia="宋体" w:cs="Times New Roman"/>
                <w:sz w:val="18"/>
                <w:szCs w:val="18"/>
              </w:rPr>
            </w:pPr>
          </w:p>
        </w:tc>
        <w:tc>
          <w:tcPr>
            <w:tcW w:w="677" w:type="pct"/>
            <w:vMerge w:val="restart"/>
            <w:vAlign w:val="center"/>
          </w:tcPr>
          <w:p w14:paraId="6B8F9638">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GB 9078</w:t>
            </w:r>
          </w:p>
        </w:tc>
      </w:tr>
      <w:tr w14:paraId="5B470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 w:hRule="atLeast"/>
          <w:jc w:val="center"/>
        </w:trPr>
        <w:tc>
          <w:tcPr>
            <w:tcW w:w="635" w:type="pct"/>
            <w:vMerge w:val="continue"/>
            <w:tcBorders>
              <w:top w:val="nil"/>
              <w:bottom w:val="nil"/>
            </w:tcBorders>
            <w:vAlign w:val="center"/>
          </w:tcPr>
          <w:p w14:paraId="743A0DC0">
            <w:pPr>
              <w:jc w:val="center"/>
              <w:rPr>
                <w:rFonts w:hint="default" w:ascii="Times New Roman" w:hAnsi="Times New Roman" w:eastAsia="宋体" w:cs="Times New Roman"/>
                <w:sz w:val="18"/>
                <w:szCs w:val="18"/>
              </w:rPr>
            </w:pPr>
          </w:p>
        </w:tc>
        <w:tc>
          <w:tcPr>
            <w:tcW w:w="664" w:type="pct"/>
            <w:vMerge w:val="continue"/>
            <w:vAlign w:val="center"/>
          </w:tcPr>
          <w:p w14:paraId="5CE98B0E">
            <w:pPr>
              <w:jc w:val="center"/>
              <w:rPr>
                <w:rFonts w:hint="default" w:ascii="Times New Roman" w:hAnsi="Times New Roman" w:eastAsia="宋体" w:cs="Times New Roman"/>
                <w:sz w:val="18"/>
                <w:szCs w:val="18"/>
              </w:rPr>
            </w:pPr>
          </w:p>
        </w:tc>
        <w:tc>
          <w:tcPr>
            <w:tcW w:w="1068" w:type="pct"/>
            <w:vMerge w:val="continue"/>
            <w:vAlign w:val="center"/>
          </w:tcPr>
          <w:p w14:paraId="3A8FA079">
            <w:pPr>
              <w:jc w:val="center"/>
              <w:rPr>
                <w:rFonts w:hint="default" w:ascii="Times New Roman" w:hAnsi="Times New Roman" w:eastAsia="宋体" w:cs="Times New Roman"/>
                <w:sz w:val="18"/>
                <w:szCs w:val="18"/>
              </w:rPr>
            </w:pPr>
          </w:p>
        </w:tc>
        <w:tc>
          <w:tcPr>
            <w:tcW w:w="1023" w:type="pct"/>
            <w:vAlign w:val="center"/>
          </w:tcPr>
          <w:p w14:paraId="2C9784F7">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氟化物</w:t>
            </w:r>
          </w:p>
        </w:tc>
        <w:tc>
          <w:tcPr>
            <w:tcW w:w="929" w:type="pct"/>
            <w:vMerge w:val="continue"/>
            <w:vAlign w:val="center"/>
          </w:tcPr>
          <w:p w14:paraId="499B42D4">
            <w:pPr>
              <w:jc w:val="center"/>
              <w:rPr>
                <w:rFonts w:hint="default" w:ascii="Times New Roman" w:hAnsi="Times New Roman" w:eastAsia="宋体" w:cs="Times New Roman"/>
                <w:sz w:val="18"/>
                <w:szCs w:val="18"/>
              </w:rPr>
            </w:pPr>
          </w:p>
        </w:tc>
        <w:tc>
          <w:tcPr>
            <w:tcW w:w="677" w:type="pct"/>
            <w:vMerge w:val="continue"/>
            <w:vAlign w:val="center"/>
          </w:tcPr>
          <w:p w14:paraId="6FF2B4FE">
            <w:pPr>
              <w:jc w:val="center"/>
              <w:rPr>
                <w:rFonts w:hint="default" w:ascii="Times New Roman" w:hAnsi="Times New Roman" w:eastAsia="宋体" w:cs="Times New Roman"/>
                <w:sz w:val="18"/>
                <w:szCs w:val="18"/>
              </w:rPr>
            </w:pPr>
          </w:p>
        </w:tc>
      </w:tr>
      <w:tr w14:paraId="7A0AD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35" w:type="pct"/>
            <w:vMerge w:val="continue"/>
            <w:tcBorders>
              <w:top w:val="nil"/>
              <w:bottom w:val="nil"/>
            </w:tcBorders>
            <w:vAlign w:val="center"/>
          </w:tcPr>
          <w:p w14:paraId="14A95BC5">
            <w:pPr>
              <w:jc w:val="center"/>
              <w:rPr>
                <w:rFonts w:hint="default" w:ascii="Times New Roman" w:hAnsi="Times New Roman" w:eastAsia="宋体" w:cs="Times New Roman"/>
                <w:sz w:val="18"/>
                <w:szCs w:val="18"/>
              </w:rPr>
            </w:pPr>
          </w:p>
        </w:tc>
        <w:tc>
          <w:tcPr>
            <w:tcW w:w="664" w:type="pct"/>
            <w:vMerge w:val="continue"/>
            <w:tcBorders>
              <w:top w:val="nil"/>
              <w:bottom w:val="nil"/>
            </w:tcBorders>
            <w:vAlign w:val="center"/>
          </w:tcPr>
          <w:p w14:paraId="554C626D">
            <w:pPr>
              <w:jc w:val="center"/>
              <w:rPr>
                <w:rFonts w:hint="default" w:ascii="Times New Roman" w:hAnsi="Times New Roman" w:eastAsia="宋体" w:cs="Times New Roman"/>
                <w:sz w:val="18"/>
                <w:szCs w:val="18"/>
              </w:rPr>
            </w:pPr>
          </w:p>
        </w:tc>
        <w:tc>
          <w:tcPr>
            <w:tcW w:w="1068" w:type="pct"/>
            <w:vMerge w:val="continue"/>
            <w:tcBorders>
              <w:top w:val="nil"/>
              <w:bottom w:val="nil"/>
            </w:tcBorders>
            <w:vAlign w:val="center"/>
          </w:tcPr>
          <w:p w14:paraId="3CCAE081">
            <w:pPr>
              <w:jc w:val="center"/>
              <w:rPr>
                <w:rFonts w:hint="default" w:ascii="Times New Roman" w:hAnsi="Times New Roman" w:eastAsia="宋体" w:cs="Times New Roman"/>
                <w:sz w:val="18"/>
                <w:szCs w:val="18"/>
              </w:rPr>
            </w:pPr>
          </w:p>
        </w:tc>
        <w:tc>
          <w:tcPr>
            <w:tcW w:w="1023" w:type="pct"/>
            <w:vAlign w:val="center"/>
          </w:tcPr>
          <w:p w14:paraId="60AD1779">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镍及其化合物</w:t>
            </w:r>
          </w:p>
        </w:tc>
        <w:tc>
          <w:tcPr>
            <w:tcW w:w="929" w:type="pct"/>
            <w:vMerge w:val="continue"/>
            <w:vAlign w:val="center"/>
          </w:tcPr>
          <w:p w14:paraId="738E5AB1">
            <w:pPr>
              <w:jc w:val="center"/>
              <w:rPr>
                <w:rFonts w:hint="default" w:ascii="Times New Roman" w:hAnsi="Times New Roman" w:eastAsia="宋体" w:cs="Times New Roman"/>
                <w:sz w:val="18"/>
                <w:szCs w:val="18"/>
              </w:rPr>
            </w:pPr>
          </w:p>
        </w:tc>
        <w:tc>
          <w:tcPr>
            <w:tcW w:w="677" w:type="pct"/>
            <w:vAlign w:val="center"/>
          </w:tcPr>
          <w:p w14:paraId="77110156">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16297</w:t>
            </w:r>
          </w:p>
        </w:tc>
      </w:tr>
      <w:tr w14:paraId="56269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jc w:val="center"/>
        </w:trPr>
        <w:tc>
          <w:tcPr>
            <w:tcW w:w="635" w:type="pct"/>
            <w:vMerge w:val="continue"/>
            <w:tcBorders>
              <w:top w:val="nil"/>
              <w:bottom w:val="nil"/>
            </w:tcBorders>
            <w:vAlign w:val="center"/>
          </w:tcPr>
          <w:p w14:paraId="13857C6C">
            <w:pPr>
              <w:jc w:val="center"/>
              <w:rPr>
                <w:rFonts w:hint="default" w:ascii="Times New Roman" w:hAnsi="Times New Roman" w:eastAsia="宋体" w:cs="Times New Roman"/>
                <w:sz w:val="18"/>
                <w:szCs w:val="18"/>
              </w:rPr>
            </w:pPr>
          </w:p>
        </w:tc>
        <w:tc>
          <w:tcPr>
            <w:tcW w:w="664" w:type="pct"/>
            <w:vMerge w:val="continue"/>
            <w:tcBorders>
              <w:top w:val="nil"/>
              <w:bottom w:val="nil"/>
            </w:tcBorders>
            <w:vAlign w:val="center"/>
          </w:tcPr>
          <w:p w14:paraId="4DB9E148">
            <w:pPr>
              <w:jc w:val="center"/>
              <w:rPr>
                <w:rFonts w:hint="default" w:ascii="Times New Roman" w:hAnsi="Times New Roman" w:eastAsia="宋体" w:cs="Times New Roman"/>
                <w:sz w:val="18"/>
                <w:szCs w:val="18"/>
              </w:rPr>
            </w:pPr>
          </w:p>
        </w:tc>
        <w:tc>
          <w:tcPr>
            <w:tcW w:w="1068" w:type="pct"/>
            <w:vMerge w:val="continue"/>
            <w:tcBorders>
              <w:top w:val="nil"/>
              <w:bottom w:val="nil"/>
            </w:tcBorders>
            <w:vAlign w:val="center"/>
          </w:tcPr>
          <w:p w14:paraId="33115FC8">
            <w:pPr>
              <w:jc w:val="center"/>
              <w:rPr>
                <w:rFonts w:hint="default" w:ascii="Times New Roman" w:hAnsi="Times New Roman" w:eastAsia="宋体" w:cs="Times New Roman"/>
                <w:sz w:val="18"/>
                <w:szCs w:val="18"/>
              </w:rPr>
            </w:pPr>
          </w:p>
        </w:tc>
        <w:tc>
          <w:tcPr>
            <w:tcW w:w="1023" w:type="pct"/>
            <w:vAlign w:val="center"/>
          </w:tcPr>
          <w:p w14:paraId="56264770">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钴及其化合物</w:t>
            </w:r>
          </w:p>
        </w:tc>
        <w:tc>
          <w:tcPr>
            <w:tcW w:w="929" w:type="pct"/>
            <w:vMerge w:val="continue"/>
            <w:vAlign w:val="center"/>
          </w:tcPr>
          <w:p w14:paraId="0C96B728">
            <w:pPr>
              <w:jc w:val="center"/>
              <w:rPr>
                <w:rFonts w:hint="default" w:ascii="Times New Roman" w:hAnsi="Times New Roman" w:eastAsia="宋体" w:cs="Times New Roman"/>
                <w:sz w:val="18"/>
                <w:szCs w:val="18"/>
              </w:rPr>
            </w:pPr>
          </w:p>
        </w:tc>
        <w:tc>
          <w:tcPr>
            <w:tcW w:w="677" w:type="pct"/>
            <w:vAlign w:val="center"/>
          </w:tcPr>
          <w:p w14:paraId="15C47F5A">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31573</w:t>
            </w:r>
          </w:p>
        </w:tc>
      </w:tr>
      <w:tr w14:paraId="77BC0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jc w:val="center"/>
        </w:trPr>
        <w:tc>
          <w:tcPr>
            <w:tcW w:w="635" w:type="pct"/>
            <w:vMerge w:val="continue"/>
            <w:tcBorders>
              <w:top w:val="nil"/>
              <w:bottom w:val="nil"/>
            </w:tcBorders>
            <w:vAlign w:val="center"/>
          </w:tcPr>
          <w:p w14:paraId="793009AA">
            <w:pPr>
              <w:jc w:val="center"/>
              <w:rPr>
                <w:rFonts w:hint="default" w:ascii="Times New Roman" w:hAnsi="Times New Roman" w:eastAsia="宋体" w:cs="Times New Roman"/>
                <w:sz w:val="18"/>
                <w:szCs w:val="18"/>
              </w:rPr>
            </w:pPr>
          </w:p>
        </w:tc>
        <w:tc>
          <w:tcPr>
            <w:tcW w:w="664" w:type="pct"/>
            <w:vMerge w:val="continue"/>
            <w:tcBorders>
              <w:top w:val="nil"/>
            </w:tcBorders>
            <w:vAlign w:val="center"/>
          </w:tcPr>
          <w:p w14:paraId="5B9DA75B">
            <w:pPr>
              <w:jc w:val="center"/>
              <w:rPr>
                <w:rFonts w:hint="default" w:ascii="Times New Roman" w:hAnsi="Times New Roman" w:eastAsia="宋体" w:cs="Times New Roman"/>
                <w:sz w:val="18"/>
                <w:szCs w:val="18"/>
              </w:rPr>
            </w:pPr>
          </w:p>
        </w:tc>
        <w:tc>
          <w:tcPr>
            <w:tcW w:w="1068" w:type="pct"/>
            <w:vMerge w:val="continue"/>
            <w:tcBorders>
              <w:top w:val="nil"/>
            </w:tcBorders>
            <w:vAlign w:val="center"/>
          </w:tcPr>
          <w:p w14:paraId="70059A24">
            <w:pPr>
              <w:jc w:val="center"/>
              <w:rPr>
                <w:rFonts w:hint="default" w:ascii="Times New Roman" w:hAnsi="Times New Roman" w:eastAsia="宋体" w:cs="Times New Roman"/>
                <w:sz w:val="18"/>
                <w:szCs w:val="18"/>
              </w:rPr>
            </w:pPr>
          </w:p>
        </w:tc>
        <w:tc>
          <w:tcPr>
            <w:tcW w:w="1023" w:type="pct"/>
            <w:vAlign w:val="center"/>
          </w:tcPr>
          <w:p w14:paraId="637C1B7E">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二噁英类</w:t>
            </w:r>
          </w:p>
        </w:tc>
        <w:tc>
          <w:tcPr>
            <w:tcW w:w="929" w:type="pct"/>
            <w:vAlign w:val="center"/>
          </w:tcPr>
          <w:p w14:paraId="19548AA2">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w:t>
            </w:r>
          </w:p>
        </w:tc>
        <w:tc>
          <w:tcPr>
            <w:tcW w:w="677" w:type="pct"/>
            <w:vAlign w:val="center"/>
          </w:tcPr>
          <w:p w14:paraId="15AE38C4">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18484</w:t>
            </w:r>
          </w:p>
        </w:tc>
      </w:tr>
      <w:tr w14:paraId="41D505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35" w:type="pct"/>
            <w:vMerge w:val="continue"/>
            <w:tcBorders>
              <w:top w:val="nil"/>
              <w:bottom w:val="nil"/>
            </w:tcBorders>
            <w:vAlign w:val="center"/>
          </w:tcPr>
          <w:p w14:paraId="46E0B870">
            <w:pPr>
              <w:jc w:val="center"/>
              <w:rPr>
                <w:rFonts w:hint="default" w:ascii="Times New Roman" w:hAnsi="Times New Roman" w:eastAsia="宋体" w:cs="Times New Roman"/>
                <w:sz w:val="18"/>
                <w:szCs w:val="18"/>
              </w:rPr>
            </w:pPr>
          </w:p>
        </w:tc>
        <w:tc>
          <w:tcPr>
            <w:tcW w:w="664" w:type="pct"/>
            <w:vMerge w:val="restart"/>
            <w:tcBorders>
              <w:bottom w:val="nil"/>
            </w:tcBorders>
            <w:vAlign w:val="center"/>
          </w:tcPr>
          <w:p w14:paraId="05C6FDAA">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破碎、分选</w:t>
            </w:r>
          </w:p>
        </w:tc>
        <w:tc>
          <w:tcPr>
            <w:tcW w:w="1068" w:type="pct"/>
            <w:vMerge w:val="restart"/>
            <w:tcBorders>
              <w:bottom w:val="nil"/>
            </w:tcBorders>
            <w:vAlign w:val="center"/>
          </w:tcPr>
          <w:p w14:paraId="24361E77">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尾气处理设施排气筒</w:t>
            </w:r>
          </w:p>
        </w:tc>
        <w:tc>
          <w:tcPr>
            <w:tcW w:w="1023" w:type="pct"/>
            <w:vAlign w:val="center"/>
          </w:tcPr>
          <w:p w14:paraId="1ADECCD1">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颗粒物</w:t>
            </w:r>
          </w:p>
        </w:tc>
        <w:tc>
          <w:tcPr>
            <w:tcW w:w="929" w:type="pct"/>
            <w:vMerge w:val="restart"/>
            <w:vAlign w:val="center"/>
          </w:tcPr>
          <w:p w14:paraId="4A588BA1">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半年</w:t>
            </w:r>
          </w:p>
        </w:tc>
        <w:tc>
          <w:tcPr>
            <w:tcW w:w="677" w:type="pct"/>
            <w:vAlign w:val="center"/>
          </w:tcPr>
          <w:p w14:paraId="4ABB53B1">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GB 30484</w:t>
            </w:r>
          </w:p>
        </w:tc>
      </w:tr>
      <w:tr w14:paraId="3716E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35" w:type="pct"/>
            <w:vMerge w:val="continue"/>
            <w:tcBorders>
              <w:top w:val="nil"/>
              <w:bottom w:val="nil"/>
            </w:tcBorders>
            <w:vAlign w:val="center"/>
          </w:tcPr>
          <w:p w14:paraId="5985E22C">
            <w:pPr>
              <w:jc w:val="center"/>
              <w:rPr>
                <w:rFonts w:hint="default" w:ascii="Times New Roman" w:hAnsi="Times New Roman" w:eastAsia="宋体" w:cs="Times New Roman"/>
                <w:sz w:val="18"/>
                <w:szCs w:val="18"/>
              </w:rPr>
            </w:pPr>
          </w:p>
        </w:tc>
        <w:tc>
          <w:tcPr>
            <w:tcW w:w="664" w:type="pct"/>
            <w:vMerge w:val="continue"/>
            <w:vAlign w:val="center"/>
          </w:tcPr>
          <w:p w14:paraId="0D22985E">
            <w:pPr>
              <w:jc w:val="center"/>
              <w:rPr>
                <w:rFonts w:hint="default" w:ascii="Times New Roman" w:hAnsi="Times New Roman" w:eastAsia="宋体" w:cs="Times New Roman"/>
                <w:sz w:val="18"/>
                <w:szCs w:val="18"/>
              </w:rPr>
            </w:pPr>
          </w:p>
        </w:tc>
        <w:tc>
          <w:tcPr>
            <w:tcW w:w="1068" w:type="pct"/>
            <w:vMerge w:val="continue"/>
            <w:vAlign w:val="center"/>
          </w:tcPr>
          <w:p w14:paraId="1EA57FA6">
            <w:pPr>
              <w:jc w:val="center"/>
              <w:rPr>
                <w:rFonts w:hint="default" w:ascii="Times New Roman" w:hAnsi="Times New Roman" w:eastAsia="宋体" w:cs="Times New Roman"/>
                <w:sz w:val="18"/>
                <w:szCs w:val="18"/>
              </w:rPr>
            </w:pPr>
          </w:p>
        </w:tc>
        <w:tc>
          <w:tcPr>
            <w:tcW w:w="1023" w:type="pct"/>
            <w:vAlign w:val="center"/>
          </w:tcPr>
          <w:p w14:paraId="37BDE4D0">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镍及其化合物</w:t>
            </w:r>
          </w:p>
        </w:tc>
        <w:tc>
          <w:tcPr>
            <w:tcW w:w="929" w:type="pct"/>
            <w:vMerge w:val="continue"/>
            <w:vAlign w:val="center"/>
          </w:tcPr>
          <w:p w14:paraId="712910AF">
            <w:pPr>
              <w:jc w:val="center"/>
              <w:rPr>
                <w:rFonts w:hint="default" w:ascii="Times New Roman" w:hAnsi="Times New Roman" w:eastAsia="宋体" w:cs="Times New Roman"/>
                <w:sz w:val="18"/>
                <w:szCs w:val="18"/>
              </w:rPr>
            </w:pPr>
          </w:p>
        </w:tc>
        <w:tc>
          <w:tcPr>
            <w:tcW w:w="677" w:type="pct"/>
            <w:vAlign w:val="center"/>
          </w:tcPr>
          <w:p w14:paraId="02788A48">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16297</w:t>
            </w:r>
          </w:p>
        </w:tc>
      </w:tr>
      <w:tr w14:paraId="5C2731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35" w:type="pct"/>
            <w:vMerge w:val="continue"/>
            <w:tcBorders>
              <w:top w:val="nil"/>
            </w:tcBorders>
            <w:vAlign w:val="center"/>
          </w:tcPr>
          <w:p w14:paraId="739BB318">
            <w:pPr>
              <w:jc w:val="center"/>
              <w:rPr>
                <w:rFonts w:hint="default" w:ascii="Times New Roman" w:hAnsi="Times New Roman" w:eastAsia="宋体" w:cs="Times New Roman"/>
                <w:sz w:val="18"/>
                <w:szCs w:val="18"/>
              </w:rPr>
            </w:pPr>
          </w:p>
        </w:tc>
        <w:tc>
          <w:tcPr>
            <w:tcW w:w="664" w:type="pct"/>
            <w:vMerge w:val="continue"/>
            <w:tcBorders>
              <w:top w:val="nil"/>
            </w:tcBorders>
            <w:vAlign w:val="center"/>
          </w:tcPr>
          <w:p w14:paraId="31089B39">
            <w:pPr>
              <w:jc w:val="center"/>
              <w:rPr>
                <w:rFonts w:hint="default" w:ascii="Times New Roman" w:hAnsi="Times New Roman" w:eastAsia="宋体" w:cs="Times New Roman"/>
                <w:sz w:val="18"/>
                <w:szCs w:val="18"/>
              </w:rPr>
            </w:pPr>
          </w:p>
        </w:tc>
        <w:tc>
          <w:tcPr>
            <w:tcW w:w="1068" w:type="pct"/>
            <w:vMerge w:val="continue"/>
            <w:tcBorders>
              <w:top w:val="nil"/>
            </w:tcBorders>
            <w:vAlign w:val="center"/>
          </w:tcPr>
          <w:p w14:paraId="78DAD0F8">
            <w:pPr>
              <w:jc w:val="center"/>
              <w:rPr>
                <w:rFonts w:hint="default" w:ascii="Times New Roman" w:hAnsi="Times New Roman" w:eastAsia="宋体" w:cs="Times New Roman"/>
                <w:sz w:val="18"/>
                <w:szCs w:val="18"/>
              </w:rPr>
            </w:pPr>
          </w:p>
        </w:tc>
        <w:tc>
          <w:tcPr>
            <w:tcW w:w="1023" w:type="pct"/>
            <w:vAlign w:val="center"/>
          </w:tcPr>
          <w:p w14:paraId="4AB636B7">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钴及其化合物</w:t>
            </w:r>
          </w:p>
        </w:tc>
        <w:tc>
          <w:tcPr>
            <w:tcW w:w="929" w:type="pct"/>
            <w:vMerge w:val="continue"/>
            <w:vAlign w:val="center"/>
          </w:tcPr>
          <w:p w14:paraId="5E3D11D5">
            <w:pPr>
              <w:jc w:val="center"/>
              <w:rPr>
                <w:rFonts w:hint="default" w:ascii="Times New Roman" w:hAnsi="Times New Roman" w:eastAsia="宋体" w:cs="Times New Roman"/>
                <w:sz w:val="18"/>
                <w:szCs w:val="18"/>
              </w:rPr>
            </w:pPr>
          </w:p>
        </w:tc>
        <w:tc>
          <w:tcPr>
            <w:tcW w:w="677" w:type="pct"/>
            <w:vAlign w:val="center"/>
          </w:tcPr>
          <w:p w14:paraId="1C9A6BF7">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31573</w:t>
            </w:r>
          </w:p>
        </w:tc>
      </w:tr>
      <w:tr w14:paraId="4BBFB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35" w:type="pct"/>
            <w:vMerge w:val="restart"/>
            <w:vAlign w:val="center"/>
          </w:tcPr>
          <w:p w14:paraId="79041186">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湿法工艺</w:t>
            </w:r>
          </w:p>
        </w:tc>
        <w:tc>
          <w:tcPr>
            <w:tcW w:w="664" w:type="pct"/>
            <w:vMerge w:val="restart"/>
            <w:vAlign w:val="center"/>
          </w:tcPr>
          <w:p w14:paraId="7910B87A">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浸出</w:t>
            </w:r>
          </w:p>
        </w:tc>
        <w:tc>
          <w:tcPr>
            <w:tcW w:w="1068" w:type="pct"/>
            <w:vMerge w:val="restart"/>
            <w:vAlign w:val="center"/>
          </w:tcPr>
          <w:p w14:paraId="0D0652A6">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尾气处理设施排气筒、集气设施排气筒</w:t>
            </w:r>
          </w:p>
        </w:tc>
        <w:tc>
          <w:tcPr>
            <w:tcW w:w="1023" w:type="pct"/>
            <w:vAlign w:val="center"/>
          </w:tcPr>
          <w:p w14:paraId="201E1856">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硫酸雾</w:t>
            </w:r>
          </w:p>
        </w:tc>
        <w:tc>
          <w:tcPr>
            <w:tcW w:w="929" w:type="pct"/>
            <w:vMerge w:val="restart"/>
            <w:vAlign w:val="center"/>
          </w:tcPr>
          <w:p w14:paraId="19ECD8A8">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半年</w:t>
            </w:r>
          </w:p>
        </w:tc>
        <w:tc>
          <w:tcPr>
            <w:tcW w:w="677" w:type="pct"/>
            <w:vMerge w:val="restart"/>
            <w:vAlign w:val="center"/>
          </w:tcPr>
          <w:p w14:paraId="2BFC674F">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16297</w:t>
            </w:r>
          </w:p>
        </w:tc>
      </w:tr>
      <w:tr w14:paraId="406C41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35" w:type="pct"/>
            <w:vMerge w:val="continue"/>
            <w:vAlign w:val="center"/>
          </w:tcPr>
          <w:p w14:paraId="49A8292D">
            <w:pPr>
              <w:jc w:val="center"/>
              <w:rPr>
                <w:rFonts w:hint="default" w:ascii="Times New Roman" w:hAnsi="Times New Roman" w:eastAsia="宋体" w:cs="Times New Roman"/>
                <w:sz w:val="18"/>
                <w:szCs w:val="18"/>
              </w:rPr>
            </w:pPr>
          </w:p>
        </w:tc>
        <w:tc>
          <w:tcPr>
            <w:tcW w:w="664" w:type="pct"/>
            <w:vMerge w:val="continue"/>
            <w:vAlign w:val="center"/>
          </w:tcPr>
          <w:p w14:paraId="00E6539F">
            <w:pPr>
              <w:jc w:val="center"/>
              <w:rPr>
                <w:rFonts w:hint="default" w:ascii="Times New Roman" w:hAnsi="Times New Roman" w:eastAsia="宋体" w:cs="Times New Roman"/>
                <w:sz w:val="18"/>
                <w:szCs w:val="18"/>
              </w:rPr>
            </w:pPr>
          </w:p>
        </w:tc>
        <w:tc>
          <w:tcPr>
            <w:tcW w:w="1068" w:type="pct"/>
            <w:vMerge w:val="continue"/>
            <w:vAlign w:val="center"/>
          </w:tcPr>
          <w:p w14:paraId="710AB9E9">
            <w:pPr>
              <w:jc w:val="center"/>
              <w:rPr>
                <w:rFonts w:hint="default" w:ascii="Times New Roman" w:hAnsi="Times New Roman" w:eastAsia="宋体" w:cs="Times New Roman"/>
                <w:sz w:val="18"/>
                <w:szCs w:val="18"/>
              </w:rPr>
            </w:pPr>
          </w:p>
        </w:tc>
        <w:tc>
          <w:tcPr>
            <w:tcW w:w="1023" w:type="pct"/>
            <w:vAlign w:val="center"/>
          </w:tcPr>
          <w:p w14:paraId="00B37E20">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氯化氢</w:t>
            </w:r>
          </w:p>
        </w:tc>
        <w:tc>
          <w:tcPr>
            <w:tcW w:w="929" w:type="pct"/>
            <w:vMerge w:val="continue"/>
            <w:vAlign w:val="center"/>
          </w:tcPr>
          <w:p w14:paraId="672CBF46">
            <w:pPr>
              <w:jc w:val="center"/>
              <w:rPr>
                <w:rFonts w:hint="default" w:ascii="Times New Roman" w:hAnsi="Times New Roman" w:eastAsia="宋体" w:cs="Times New Roman"/>
                <w:sz w:val="18"/>
                <w:szCs w:val="18"/>
              </w:rPr>
            </w:pPr>
          </w:p>
        </w:tc>
        <w:tc>
          <w:tcPr>
            <w:tcW w:w="677" w:type="pct"/>
            <w:vMerge w:val="continue"/>
            <w:vAlign w:val="center"/>
          </w:tcPr>
          <w:p w14:paraId="1BF542F2">
            <w:pPr>
              <w:jc w:val="center"/>
              <w:rPr>
                <w:rFonts w:hint="default" w:ascii="Times New Roman" w:hAnsi="Times New Roman" w:eastAsia="宋体" w:cs="Times New Roman"/>
                <w:sz w:val="18"/>
                <w:szCs w:val="18"/>
              </w:rPr>
            </w:pPr>
          </w:p>
        </w:tc>
      </w:tr>
      <w:tr w14:paraId="674464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35" w:type="pct"/>
            <w:vMerge w:val="continue"/>
            <w:vAlign w:val="center"/>
          </w:tcPr>
          <w:p w14:paraId="018C1C88">
            <w:pPr>
              <w:jc w:val="center"/>
              <w:rPr>
                <w:rFonts w:hint="default" w:ascii="Times New Roman" w:hAnsi="Times New Roman" w:eastAsia="宋体" w:cs="Times New Roman"/>
                <w:sz w:val="18"/>
                <w:szCs w:val="18"/>
              </w:rPr>
            </w:pPr>
          </w:p>
        </w:tc>
        <w:tc>
          <w:tcPr>
            <w:tcW w:w="664" w:type="pct"/>
            <w:vMerge w:val="restart"/>
            <w:vAlign w:val="center"/>
          </w:tcPr>
          <w:p w14:paraId="41AD9200">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分离、提纯和化合物制备</w:t>
            </w:r>
          </w:p>
        </w:tc>
        <w:tc>
          <w:tcPr>
            <w:tcW w:w="1068" w:type="pct"/>
            <w:vMerge w:val="restart"/>
            <w:vAlign w:val="center"/>
          </w:tcPr>
          <w:p w14:paraId="5E503D07">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尾气处理设施排气筒、集气设施排气筒</w:t>
            </w:r>
          </w:p>
        </w:tc>
        <w:tc>
          <w:tcPr>
            <w:tcW w:w="1023" w:type="pct"/>
            <w:vAlign w:val="center"/>
          </w:tcPr>
          <w:p w14:paraId="3DABA8A5">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硫酸雾</w:t>
            </w:r>
          </w:p>
        </w:tc>
        <w:tc>
          <w:tcPr>
            <w:tcW w:w="929" w:type="pct"/>
            <w:vMerge w:val="restart"/>
            <w:vAlign w:val="center"/>
          </w:tcPr>
          <w:p w14:paraId="38445C70">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w:t>
            </w:r>
          </w:p>
        </w:tc>
        <w:tc>
          <w:tcPr>
            <w:tcW w:w="677" w:type="pct"/>
            <w:vMerge w:val="restart"/>
            <w:vAlign w:val="center"/>
          </w:tcPr>
          <w:p w14:paraId="22423169">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16297</w:t>
            </w:r>
          </w:p>
        </w:tc>
      </w:tr>
      <w:tr w14:paraId="47ADA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35" w:type="pct"/>
            <w:vMerge w:val="continue"/>
            <w:vAlign w:val="center"/>
          </w:tcPr>
          <w:p w14:paraId="5374F9DB">
            <w:pPr>
              <w:jc w:val="center"/>
              <w:rPr>
                <w:rFonts w:hint="default" w:ascii="Times New Roman" w:hAnsi="Times New Roman" w:eastAsia="宋体" w:cs="Times New Roman"/>
                <w:sz w:val="18"/>
                <w:szCs w:val="18"/>
              </w:rPr>
            </w:pPr>
          </w:p>
        </w:tc>
        <w:tc>
          <w:tcPr>
            <w:tcW w:w="664" w:type="pct"/>
            <w:vMerge w:val="continue"/>
            <w:vAlign w:val="center"/>
          </w:tcPr>
          <w:p w14:paraId="4291A212">
            <w:pPr>
              <w:jc w:val="center"/>
              <w:rPr>
                <w:rFonts w:hint="default" w:ascii="Times New Roman" w:hAnsi="Times New Roman" w:eastAsia="宋体" w:cs="Times New Roman"/>
                <w:sz w:val="18"/>
                <w:szCs w:val="18"/>
              </w:rPr>
            </w:pPr>
          </w:p>
        </w:tc>
        <w:tc>
          <w:tcPr>
            <w:tcW w:w="1068" w:type="pct"/>
            <w:vMerge w:val="continue"/>
            <w:vAlign w:val="center"/>
          </w:tcPr>
          <w:p w14:paraId="4489F697">
            <w:pPr>
              <w:jc w:val="center"/>
              <w:rPr>
                <w:rFonts w:hint="default" w:ascii="Times New Roman" w:hAnsi="Times New Roman" w:eastAsia="宋体" w:cs="Times New Roman"/>
                <w:sz w:val="18"/>
                <w:szCs w:val="18"/>
              </w:rPr>
            </w:pPr>
          </w:p>
        </w:tc>
        <w:tc>
          <w:tcPr>
            <w:tcW w:w="1023" w:type="pct"/>
            <w:vAlign w:val="center"/>
          </w:tcPr>
          <w:p w14:paraId="0F19C31A">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氯化氢</w:t>
            </w:r>
          </w:p>
        </w:tc>
        <w:tc>
          <w:tcPr>
            <w:tcW w:w="929" w:type="pct"/>
            <w:vMerge w:val="continue"/>
            <w:vAlign w:val="center"/>
          </w:tcPr>
          <w:p w14:paraId="6C59CF1C">
            <w:pPr>
              <w:jc w:val="center"/>
              <w:rPr>
                <w:rFonts w:hint="default" w:ascii="Times New Roman" w:hAnsi="Times New Roman" w:eastAsia="宋体" w:cs="Times New Roman"/>
                <w:sz w:val="18"/>
                <w:szCs w:val="18"/>
              </w:rPr>
            </w:pPr>
          </w:p>
        </w:tc>
        <w:tc>
          <w:tcPr>
            <w:tcW w:w="677" w:type="pct"/>
            <w:vMerge w:val="continue"/>
            <w:vAlign w:val="center"/>
          </w:tcPr>
          <w:p w14:paraId="2429154F">
            <w:pPr>
              <w:jc w:val="center"/>
              <w:rPr>
                <w:rFonts w:hint="default" w:ascii="Times New Roman" w:hAnsi="Times New Roman" w:eastAsia="宋体" w:cs="Times New Roman"/>
                <w:sz w:val="18"/>
                <w:szCs w:val="18"/>
              </w:rPr>
            </w:pPr>
          </w:p>
        </w:tc>
      </w:tr>
      <w:tr w14:paraId="1B0BB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jc w:val="center"/>
        </w:trPr>
        <w:tc>
          <w:tcPr>
            <w:tcW w:w="635" w:type="pct"/>
            <w:vMerge w:val="continue"/>
            <w:vAlign w:val="center"/>
          </w:tcPr>
          <w:p w14:paraId="343E505D">
            <w:pPr>
              <w:jc w:val="center"/>
              <w:rPr>
                <w:rFonts w:hint="default" w:ascii="Times New Roman" w:hAnsi="Times New Roman" w:eastAsia="宋体" w:cs="Times New Roman"/>
                <w:sz w:val="18"/>
                <w:szCs w:val="18"/>
              </w:rPr>
            </w:pPr>
          </w:p>
        </w:tc>
        <w:tc>
          <w:tcPr>
            <w:tcW w:w="664" w:type="pct"/>
            <w:vMerge w:val="continue"/>
            <w:vAlign w:val="center"/>
          </w:tcPr>
          <w:p w14:paraId="12CE6DB4">
            <w:pPr>
              <w:jc w:val="center"/>
              <w:rPr>
                <w:rFonts w:hint="default" w:ascii="Times New Roman" w:hAnsi="Times New Roman" w:eastAsia="宋体" w:cs="Times New Roman"/>
                <w:sz w:val="18"/>
                <w:szCs w:val="18"/>
              </w:rPr>
            </w:pPr>
          </w:p>
        </w:tc>
        <w:tc>
          <w:tcPr>
            <w:tcW w:w="1068" w:type="pct"/>
            <w:vMerge w:val="continue"/>
            <w:vAlign w:val="center"/>
          </w:tcPr>
          <w:p w14:paraId="71521418">
            <w:pPr>
              <w:jc w:val="center"/>
              <w:rPr>
                <w:rFonts w:hint="default" w:ascii="Times New Roman" w:hAnsi="Times New Roman" w:eastAsia="宋体" w:cs="Times New Roman"/>
                <w:sz w:val="18"/>
                <w:szCs w:val="18"/>
              </w:rPr>
            </w:pPr>
          </w:p>
        </w:tc>
        <w:tc>
          <w:tcPr>
            <w:tcW w:w="1023" w:type="pct"/>
            <w:vAlign w:val="center"/>
          </w:tcPr>
          <w:p w14:paraId="20428799">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非甲烷总烃</w:t>
            </w:r>
          </w:p>
        </w:tc>
        <w:tc>
          <w:tcPr>
            <w:tcW w:w="929" w:type="pct"/>
            <w:vMerge w:val="continue"/>
            <w:vAlign w:val="center"/>
          </w:tcPr>
          <w:p w14:paraId="655BD21A">
            <w:pPr>
              <w:jc w:val="center"/>
              <w:rPr>
                <w:rFonts w:hint="default" w:ascii="Times New Roman" w:hAnsi="Times New Roman" w:eastAsia="宋体" w:cs="Times New Roman"/>
                <w:sz w:val="18"/>
                <w:szCs w:val="18"/>
              </w:rPr>
            </w:pPr>
          </w:p>
        </w:tc>
        <w:tc>
          <w:tcPr>
            <w:tcW w:w="677" w:type="pct"/>
            <w:vAlign w:val="center"/>
          </w:tcPr>
          <w:p w14:paraId="2A60143A">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GB 30484</w:t>
            </w:r>
          </w:p>
        </w:tc>
      </w:tr>
      <w:tr w14:paraId="56B962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 w:hRule="atLeast"/>
          <w:jc w:val="center"/>
        </w:trPr>
        <w:tc>
          <w:tcPr>
            <w:tcW w:w="5000" w:type="pct"/>
            <w:gridSpan w:val="6"/>
            <w:vAlign w:val="center"/>
          </w:tcPr>
          <w:p w14:paraId="00CC14F2">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废气无组织排放</w:t>
            </w:r>
          </w:p>
        </w:tc>
      </w:tr>
      <w:tr w14:paraId="69017E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 w:hRule="atLeast"/>
          <w:jc w:val="center"/>
        </w:trPr>
        <w:tc>
          <w:tcPr>
            <w:tcW w:w="635" w:type="pct"/>
            <w:vMerge w:val="restart"/>
            <w:vAlign w:val="center"/>
          </w:tcPr>
          <w:p w14:paraId="37C9DA13">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拆解、焙烧</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破碎、分选工艺</w:t>
            </w:r>
          </w:p>
        </w:tc>
        <w:tc>
          <w:tcPr>
            <w:tcW w:w="1733" w:type="pct"/>
            <w:gridSpan w:val="2"/>
            <w:vMerge w:val="restart"/>
            <w:vAlign w:val="center"/>
          </w:tcPr>
          <w:p w14:paraId="46C3FC3F">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企业边界</w:t>
            </w:r>
          </w:p>
        </w:tc>
        <w:tc>
          <w:tcPr>
            <w:tcW w:w="1023" w:type="pct"/>
            <w:vAlign w:val="center"/>
          </w:tcPr>
          <w:p w14:paraId="2AC4FB7E">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颗粒物</w:t>
            </w:r>
          </w:p>
        </w:tc>
        <w:tc>
          <w:tcPr>
            <w:tcW w:w="929" w:type="pct"/>
            <w:vMerge w:val="restart"/>
            <w:vAlign w:val="center"/>
          </w:tcPr>
          <w:p w14:paraId="4A56AD43">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w:t>
            </w:r>
          </w:p>
        </w:tc>
        <w:tc>
          <w:tcPr>
            <w:tcW w:w="677" w:type="pct"/>
            <w:vMerge w:val="restart"/>
            <w:vAlign w:val="center"/>
          </w:tcPr>
          <w:p w14:paraId="64831E0E">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GB 30484</w:t>
            </w:r>
          </w:p>
        </w:tc>
      </w:tr>
      <w:tr w14:paraId="152AE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 w:hRule="atLeast"/>
          <w:jc w:val="center"/>
        </w:trPr>
        <w:tc>
          <w:tcPr>
            <w:tcW w:w="635" w:type="pct"/>
            <w:vMerge w:val="continue"/>
            <w:vAlign w:val="center"/>
          </w:tcPr>
          <w:p w14:paraId="7B7B943B">
            <w:pPr>
              <w:jc w:val="center"/>
              <w:rPr>
                <w:rFonts w:hint="eastAsia" w:ascii="宋体" w:hAnsi="宋体" w:eastAsia="宋体" w:cs="宋体"/>
                <w:sz w:val="18"/>
                <w:szCs w:val="18"/>
              </w:rPr>
            </w:pPr>
          </w:p>
        </w:tc>
        <w:tc>
          <w:tcPr>
            <w:tcW w:w="1733" w:type="pct"/>
            <w:gridSpan w:val="2"/>
            <w:vMerge w:val="continue"/>
            <w:vAlign w:val="center"/>
          </w:tcPr>
          <w:p w14:paraId="335C9A72">
            <w:pPr>
              <w:jc w:val="center"/>
              <w:rPr>
                <w:rFonts w:hint="eastAsia" w:ascii="宋体" w:hAnsi="宋体" w:eastAsia="宋体" w:cs="宋体"/>
                <w:sz w:val="18"/>
                <w:szCs w:val="18"/>
              </w:rPr>
            </w:pPr>
          </w:p>
        </w:tc>
        <w:tc>
          <w:tcPr>
            <w:tcW w:w="1023" w:type="pct"/>
            <w:vAlign w:val="center"/>
          </w:tcPr>
          <w:p w14:paraId="6F009B93">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氟化物</w:t>
            </w:r>
          </w:p>
        </w:tc>
        <w:tc>
          <w:tcPr>
            <w:tcW w:w="929" w:type="pct"/>
            <w:vMerge w:val="continue"/>
            <w:vAlign w:val="center"/>
          </w:tcPr>
          <w:p w14:paraId="3B212B58">
            <w:pPr>
              <w:jc w:val="center"/>
              <w:rPr>
                <w:rFonts w:hint="eastAsia" w:ascii="宋体" w:hAnsi="宋体" w:eastAsia="宋体" w:cs="宋体"/>
                <w:sz w:val="18"/>
                <w:szCs w:val="18"/>
              </w:rPr>
            </w:pPr>
          </w:p>
        </w:tc>
        <w:tc>
          <w:tcPr>
            <w:tcW w:w="677" w:type="pct"/>
            <w:vMerge w:val="continue"/>
            <w:vAlign w:val="center"/>
          </w:tcPr>
          <w:p w14:paraId="61F5333F">
            <w:pPr>
              <w:jc w:val="center"/>
              <w:rPr>
                <w:rFonts w:hint="eastAsia" w:ascii="宋体" w:hAnsi="宋体" w:eastAsia="宋体" w:cs="宋体"/>
                <w:sz w:val="18"/>
                <w:szCs w:val="18"/>
              </w:rPr>
            </w:pPr>
          </w:p>
        </w:tc>
      </w:tr>
      <w:tr w14:paraId="6225D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 w:hRule="atLeast"/>
          <w:jc w:val="center"/>
        </w:trPr>
        <w:tc>
          <w:tcPr>
            <w:tcW w:w="635" w:type="pct"/>
            <w:vMerge w:val="continue"/>
            <w:vAlign w:val="center"/>
          </w:tcPr>
          <w:p w14:paraId="59C9A13D">
            <w:pPr>
              <w:jc w:val="center"/>
              <w:rPr>
                <w:rFonts w:hint="eastAsia" w:ascii="宋体" w:hAnsi="宋体" w:eastAsia="宋体" w:cs="宋体"/>
                <w:sz w:val="18"/>
                <w:szCs w:val="18"/>
              </w:rPr>
            </w:pPr>
          </w:p>
        </w:tc>
        <w:tc>
          <w:tcPr>
            <w:tcW w:w="1733" w:type="pct"/>
            <w:gridSpan w:val="2"/>
            <w:vMerge w:val="continue"/>
            <w:vAlign w:val="center"/>
          </w:tcPr>
          <w:p w14:paraId="7CF2BF3E">
            <w:pPr>
              <w:jc w:val="center"/>
              <w:rPr>
                <w:rFonts w:hint="eastAsia" w:ascii="宋体" w:hAnsi="宋体" w:eastAsia="宋体" w:cs="宋体"/>
                <w:sz w:val="18"/>
                <w:szCs w:val="18"/>
              </w:rPr>
            </w:pPr>
          </w:p>
        </w:tc>
        <w:tc>
          <w:tcPr>
            <w:tcW w:w="1023" w:type="pct"/>
            <w:vAlign w:val="center"/>
          </w:tcPr>
          <w:p w14:paraId="3D1F91F3">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镍及其化合物</w:t>
            </w:r>
          </w:p>
        </w:tc>
        <w:tc>
          <w:tcPr>
            <w:tcW w:w="929" w:type="pct"/>
            <w:vMerge w:val="continue"/>
            <w:vAlign w:val="center"/>
          </w:tcPr>
          <w:p w14:paraId="7FB5205F">
            <w:pPr>
              <w:jc w:val="center"/>
              <w:rPr>
                <w:rFonts w:hint="eastAsia" w:ascii="宋体" w:hAnsi="宋体" w:eastAsia="宋体" w:cs="宋体"/>
                <w:sz w:val="18"/>
                <w:szCs w:val="18"/>
              </w:rPr>
            </w:pPr>
          </w:p>
        </w:tc>
        <w:tc>
          <w:tcPr>
            <w:tcW w:w="677" w:type="pct"/>
            <w:vMerge w:val="continue"/>
            <w:vAlign w:val="center"/>
          </w:tcPr>
          <w:p w14:paraId="1951F784">
            <w:pPr>
              <w:jc w:val="center"/>
              <w:rPr>
                <w:rFonts w:hint="eastAsia" w:ascii="宋体" w:hAnsi="宋体" w:eastAsia="宋体" w:cs="宋体"/>
                <w:sz w:val="18"/>
                <w:szCs w:val="18"/>
              </w:rPr>
            </w:pPr>
          </w:p>
        </w:tc>
      </w:tr>
      <w:tr w14:paraId="7D82F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jc w:val="center"/>
        </w:trPr>
        <w:tc>
          <w:tcPr>
            <w:tcW w:w="635" w:type="pct"/>
            <w:vMerge w:val="continue"/>
            <w:vAlign w:val="center"/>
          </w:tcPr>
          <w:p w14:paraId="1DC92AAE">
            <w:pPr>
              <w:jc w:val="center"/>
              <w:rPr>
                <w:rFonts w:hint="eastAsia" w:ascii="宋体" w:hAnsi="宋体" w:eastAsia="宋体" w:cs="宋体"/>
                <w:sz w:val="18"/>
                <w:szCs w:val="18"/>
              </w:rPr>
            </w:pPr>
          </w:p>
        </w:tc>
        <w:tc>
          <w:tcPr>
            <w:tcW w:w="1733" w:type="pct"/>
            <w:gridSpan w:val="2"/>
            <w:vMerge w:val="continue"/>
            <w:tcBorders>
              <w:bottom w:val="single" w:color="auto" w:sz="4" w:space="0"/>
            </w:tcBorders>
            <w:vAlign w:val="center"/>
          </w:tcPr>
          <w:p w14:paraId="46AC35DC">
            <w:pPr>
              <w:jc w:val="center"/>
              <w:rPr>
                <w:rFonts w:hint="eastAsia" w:ascii="宋体" w:hAnsi="宋体" w:eastAsia="宋体" w:cs="宋体"/>
                <w:sz w:val="18"/>
                <w:szCs w:val="18"/>
              </w:rPr>
            </w:pPr>
          </w:p>
        </w:tc>
        <w:tc>
          <w:tcPr>
            <w:tcW w:w="1023" w:type="pct"/>
            <w:vAlign w:val="center"/>
          </w:tcPr>
          <w:p w14:paraId="611FADD7">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非甲烷总烃</w:t>
            </w:r>
          </w:p>
        </w:tc>
        <w:tc>
          <w:tcPr>
            <w:tcW w:w="929" w:type="pct"/>
            <w:vMerge w:val="continue"/>
            <w:vAlign w:val="center"/>
          </w:tcPr>
          <w:p w14:paraId="307E5F08">
            <w:pPr>
              <w:jc w:val="center"/>
              <w:rPr>
                <w:rFonts w:hint="eastAsia" w:ascii="宋体" w:hAnsi="宋体" w:eastAsia="宋体" w:cs="宋体"/>
                <w:sz w:val="18"/>
                <w:szCs w:val="18"/>
              </w:rPr>
            </w:pPr>
          </w:p>
        </w:tc>
        <w:tc>
          <w:tcPr>
            <w:tcW w:w="677" w:type="pct"/>
            <w:vMerge w:val="continue"/>
            <w:vAlign w:val="center"/>
          </w:tcPr>
          <w:p w14:paraId="6A5173AA">
            <w:pPr>
              <w:jc w:val="center"/>
              <w:rPr>
                <w:rFonts w:hint="eastAsia" w:ascii="宋体" w:hAnsi="宋体" w:eastAsia="宋体" w:cs="宋体"/>
                <w:sz w:val="18"/>
                <w:szCs w:val="18"/>
                <w:lang w:val="en-US" w:eastAsia="zh-CN"/>
              </w:rPr>
            </w:pPr>
          </w:p>
        </w:tc>
      </w:tr>
      <w:tr w14:paraId="7CEC4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 w:hRule="atLeast"/>
          <w:jc w:val="center"/>
        </w:trPr>
        <w:tc>
          <w:tcPr>
            <w:tcW w:w="635" w:type="pct"/>
            <w:vMerge w:val="restart"/>
            <w:vAlign w:val="center"/>
          </w:tcPr>
          <w:p w14:paraId="70009ADF">
            <w:pPr>
              <w:jc w:val="center"/>
              <w:rPr>
                <w:rFonts w:hint="eastAsia" w:ascii="宋体" w:hAnsi="宋体" w:eastAsia="宋体" w:cs="宋体"/>
                <w:sz w:val="18"/>
                <w:szCs w:val="18"/>
              </w:rPr>
            </w:pPr>
            <w:r>
              <w:rPr>
                <w:rFonts w:hint="eastAsia" w:ascii="宋体" w:hAnsi="宋体" w:eastAsia="宋体" w:cs="宋体"/>
                <w:sz w:val="18"/>
                <w:szCs w:val="18"/>
              </w:rPr>
              <w:t>湿法工艺</w:t>
            </w:r>
          </w:p>
        </w:tc>
        <w:tc>
          <w:tcPr>
            <w:tcW w:w="1733" w:type="pct"/>
            <w:gridSpan w:val="2"/>
            <w:vMerge w:val="restart"/>
            <w:tcBorders>
              <w:top w:val="single" w:color="auto" w:sz="4" w:space="0"/>
            </w:tcBorders>
            <w:vAlign w:val="center"/>
          </w:tcPr>
          <w:p w14:paraId="6E70DF4C">
            <w:pPr>
              <w:jc w:val="center"/>
              <w:rPr>
                <w:rFonts w:hint="eastAsia" w:ascii="宋体" w:hAnsi="宋体" w:eastAsia="宋体" w:cs="宋体"/>
                <w:sz w:val="18"/>
                <w:szCs w:val="18"/>
              </w:rPr>
            </w:pPr>
            <w:r>
              <w:rPr>
                <w:rFonts w:hint="eastAsia" w:ascii="宋体" w:hAnsi="宋体" w:eastAsia="宋体" w:cs="宋体"/>
                <w:sz w:val="18"/>
                <w:szCs w:val="18"/>
              </w:rPr>
              <w:t>企业边界</w:t>
            </w:r>
          </w:p>
        </w:tc>
        <w:tc>
          <w:tcPr>
            <w:tcW w:w="1023" w:type="pct"/>
            <w:vAlign w:val="center"/>
          </w:tcPr>
          <w:p w14:paraId="33565A62">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颗粒物</w:t>
            </w:r>
          </w:p>
        </w:tc>
        <w:tc>
          <w:tcPr>
            <w:tcW w:w="929" w:type="pct"/>
            <w:vMerge w:val="continue"/>
            <w:vAlign w:val="center"/>
          </w:tcPr>
          <w:p w14:paraId="1D353D73">
            <w:pPr>
              <w:jc w:val="center"/>
              <w:rPr>
                <w:rFonts w:hint="eastAsia" w:ascii="宋体" w:hAnsi="宋体" w:eastAsia="宋体" w:cs="宋体"/>
                <w:sz w:val="18"/>
                <w:szCs w:val="18"/>
              </w:rPr>
            </w:pPr>
          </w:p>
        </w:tc>
        <w:tc>
          <w:tcPr>
            <w:tcW w:w="677" w:type="pct"/>
            <w:vMerge w:val="continue"/>
            <w:vAlign w:val="center"/>
          </w:tcPr>
          <w:p w14:paraId="17BBDE1F">
            <w:pPr>
              <w:jc w:val="center"/>
              <w:rPr>
                <w:rFonts w:hint="eastAsia" w:ascii="宋体" w:hAnsi="宋体" w:eastAsia="宋体" w:cs="宋体"/>
                <w:sz w:val="18"/>
                <w:szCs w:val="18"/>
                <w:lang w:val="en-US" w:eastAsia="zh-CN"/>
              </w:rPr>
            </w:pPr>
          </w:p>
        </w:tc>
      </w:tr>
      <w:tr w14:paraId="22754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 w:hRule="atLeast"/>
          <w:jc w:val="center"/>
        </w:trPr>
        <w:tc>
          <w:tcPr>
            <w:tcW w:w="635" w:type="pct"/>
            <w:vMerge w:val="continue"/>
            <w:vAlign w:val="center"/>
          </w:tcPr>
          <w:p w14:paraId="5A4DD161">
            <w:pPr>
              <w:jc w:val="center"/>
              <w:rPr>
                <w:rFonts w:hint="eastAsia" w:ascii="宋体" w:hAnsi="宋体" w:eastAsia="宋体" w:cs="宋体"/>
                <w:sz w:val="18"/>
                <w:szCs w:val="18"/>
              </w:rPr>
            </w:pPr>
          </w:p>
        </w:tc>
        <w:tc>
          <w:tcPr>
            <w:tcW w:w="1733" w:type="pct"/>
            <w:gridSpan w:val="2"/>
            <w:vMerge w:val="continue"/>
            <w:vAlign w:val="center"/>
          </w:tcPr>
          <w:p w14:paraId="23FB4C0D">
            <w:pPr>
              <w:jc w:val="center"/>
              <w:rPr>
                <w:rFonts w:hint="eastAsia" w:ascii="宋体" w:hAnsi="宋体" w:eastAsia="宋体" w:cs="宋体"/>
                <w:sz w:val="18"/>
                <w:szCs w:val="18"/>
              </w:rPr>
            </w:pPr>
          </w:p>
        </w:tc>
        <w:tc>
          <w:tcPr>
            <w:tcW w:w="1023" w:type="pct"/>
            <w:vAlign w:val="center"/>
          </w:tcPr>
          <w:p w14:paraId="5DD7BB96">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硫酸雾</w:t>
            </w:r>
          </w:p>
        </w:tc>
        <w:tc>
          <w:tcPr>
            <w:tcW w:w="929" w:type="pct"/>
            <w:vMerge w:val="continue"/>
            <w:vAlign w:val="center"/>
          </w:tcPr>
          <w:p w14:paraId="7BEC68C1">
            <w:pPr>
              <w:jc w:val="center"/>
              <w:rPr>
                <w:rFonts w:hint="eastAsia" w:ascii="宋体" w:hAnsi="宋体" w:eastAsia="宋体" w:cs="宋体"/>
                <w:sz w:val="18"/>
                <w:szCs w:val="18"/>
              </w:rPr>
            </w:pPr>
          </w:p>
        </w:tc>
        <w:tc>
          <w:tcPr>
            <w:tcW w:w="677" w:type="pct"/>
            <w:vMerge w:val="continue"/>
            <w:vAlign w:val="center"/>
          </w:tcPr>
          <w:p w14:paraId="5CC972E7">
            <w:pPr>
              <w:jc w:val="center"/>
              <w:rPr>
                <w:rFonts w:hint="eastAsia" w:ascii="宋体" w:hAnsi="宋体" w:eastAsia="宋体" w:cs="宋体"/>
                <w:sz w:val="18"/>
                <w:szCs w:val="18"/>
              </w:rPr>
            </w:pPr>
          </w:p>
        </w:tc>
      </w:tr>
      <w:tr w14:paraId="1059A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jc w:val="center"/>
        </w:trPr>
        <w:tc>
          <w:tcPr>
            <w:tcW w:w="635" w:type="pct"/>
            <w:vMerge w:val="continue"/>
            <w:vAlign w:val="center"/>
          </w:tcPr>
          <w:p w14:paraId="24FD29FD">
            <w:pPr>
              <w:jc w:val="center"/>
              <w:rPr>
                <w:rFonts w:hint="eastAsia" w:ascii="宋体" w:hAnsi="宋体" w:eastAsia="宋体" w:cs="宋体"/>
                <w:sz w:val="18"/>
                <w:szCs w:val="18"/>
              </w:rPr>
            </w:pPr>
          </w:p>
        </w:tc>
        <w:tc>
          <w:tcPr>
            <w:tcW w:w="1733" w:type="pct"/>
            <w:gridSpan w:val="2"/>
            <w:vMerge w:val="continue"/>
            <w:vAlign w:val="center"/>
          </w:tcPr>
          <w:p w14:paraId="33469779">
            <w:pPr>
              <w:jc w:val="center"/>
              <w:rPr>
                <w:rFonts w:hint="eastAsia" w:ascii="宋体" w:hAnsi="宋体" w:eastAsia="宋体" w:cs="宋体"/>
                <w:sz w:val="18"/>
                <w:szCs w:val="18"/>
              </w:rPr>
            </w:pPr>
          </w:p>
        </w:tc>
        <w:tc>
          <w:tcPr>
            <w:tcW w:w="1023" w:type="pct"/>
            <w:vAlign w:val="center"/>
          </w:tcPr>
          <w:p w14:paraId="3CF5B37F">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氯化氢</w:t>
            </w:r>
          </w:p>
        </w:tc>
        <w:tc>
          <w:tcPr>
            <w:tcW w:w="929" w:type="pct"/>
            <w:vMerge w:val="continue"/>
            <w:vAlign w:val="center"/>
          </w:tcPr>
          <w:p w14:paraId="356BC627">
            <w:pPr>
              <w:jc w:val="center"/>
              <w:rPr>
                <w:rFonts w:hint="eastAsia" w:ascii="宋体" w:hAnsi="宋体" w:eastAsia="宋体" w:cs="宋体"/>
                <w:sz w:val="18"/>
                <w:szCs w:val="18"/>
              </w:rPr>
            </w:pPr>
          </w:p>
        </w:tc>
        <w:tc>
          <w:tcPr>
            <w:tcW w:w="677" w:type="pct"/>
            <w:vMerge w:val="continue"/>
            <w:vAlign w:val="center"/>
          </w:tcPr>
          <w:p w14:paraId="554FFF6F">
            <w:pPr>
              <w:jc w:val="center"/>
              <w:rPr>
                <w:rFonts w:hint="eastAsia" w:ascii="宋体" w:hAnsi="宋体" w:eastAsia="宋体" w:cs="宋体"/>
                <w:sz w:val="18"/>
                <w:szCs w:val="18"/>
              </w:rPr>
            </w:pPr>
          </w:p>
        </w:tc>
      </w:tr>
      <w:tr w14:paraId="377F1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jc w:val="center"/>
        </w:trPr>
        <w:tc>
          <w:tcPr>
            <w:tcW w:w="635" w:type="pct"/>
            <w:vMerge w:val="continue"/>
            <w:vAlign w:val="center"/>
          </w:tcPr>
          <w:p w14:paraId="30415849">
            <w:pPr>
              <w:jc w:val="center"/>
              <w:rPr>
                <w:rFonts w:hint="eastAsia" w:ascii="宋体" w:hAnsi="宋体" w:eastAsia="宋体" w:cs="宋体"/>
                <w:sz w:val="18"/>
                <w:szCs w:val="18"/>
              </w:rPr>
            </w:pPr>
          </w:p>
        </w:tc>
        <w:tc>
          <w:tcPr>
            <w:tcW w:w="1733" w:type="pct"/>
            <w:gridSpan w:val="2"/>
            <w:vMerge w:val="continue"/>
            <w:vAlign w:val="center"/>
          </w:tcPr>
          <w:p w14:paraId="4D27441A">
            <w:pPr>
              <w:jc w:val="center"/>
              <w:rPr>
                <w:rFonts w:hint="eastAsia" w:ascii="宋体" w:hAnsi="宋体" w:eastAsia="宋体" w:cs="宋体"/>
                <w:sz w:val="18"/>
                <w:szCs w:val="18"/>
              </w:rPr>
            </w:pPr>
          </w:p>
        </w:tc>
        <w:tc>
          <w:tcPr>
            <w:tcW w:w="1023" w:type="pct"/>
            <w:vAlign w:val="center"/>
          </w:tcPr>
          <w:p w14:paraId="4992740C">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氟化物</w:t>
            </w:r>
          </w:p>
        </w:tc>
        <w:tc>
          <w:tcPr>
            <w:tcW w:w="929" w:type="pct"/>
            <w:vMerge w:val="continue"/>
            <w:vAlign w:val="center"/>
          </w:tcPr>
          <w:p w14:paraId="3BD0E538">
            <w:pPr>
              <w:jc w:val="center"/>
              <w:rPr>
                <w:rFonts w:hint="eastAsia" w:ascii="宋体" w:hAnsi="宋体" w:eastAsia="宋体" w:cs="宋体"/>
                <w:sz w:val="18"/>
                <w:szCs w:val="18"/>
              </w:rPr>
            </w:pPr>
          </w:p>
        </w:tc>
        <w:tc>
          <w:tcPr>
            <w:tcW w:w="677" w:type="pct"/>
            <w:vMerge w:val="continue"/>
            <w:vAlign w:val="center"/>
          </w:tcPr>
          <w:p w14:paraId="206C3ADA">
            <w:pPr>
              <w:jc w:val="center"/>
              <w:rPr>
                <w:rFonts w:hint="eastAsia" w:ascii="宋体" w:hAnsi="宋体" w:eastAsia="宋体" w:cs="宋体"/>
                <w:sz w:val="18"/>
                <w:szCs w:val="18"/>
              </w:rPr>
            </w:pPr>
          </w:p>
        </w:tc>
      </w:tr>
      <w:tr w14:paraId="743B8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 w:hRule="atLeast"/>
          <w:jc w:val="center"/>
        </w:trPr>
        <w:tc>
          <w:tcPr>
            <w:tcW w:w="635" w:type="pct"/>
            <w:vMerge w:val="continue"/>
            <w:vAlign w:val="center"/>
          </w:tcPr>
          <w:p w14:paraId="58610FDF">
            <w:pPr>
              <w:jc w:val="center"/>
              <w:rPr>
                <w:rFonts w:hint="eastAsia" w:ascii="宋体" w:hAnsi="宋体" w:eastAsia="宋体" w:cs="宋体"/>
                <w:sz w:val="18"/>
                <w:szCs w:val="18"/>
              </w:rPr>
            </w:pPr>
          </w:p>
        </w:tc>
        <w:tc>
          <w:tcPr>
            <w:tcW w:w="1733" w:type="pct"/>
            <w:gridSpan w:val="2"/>
            <w:vMerge w:val="continue"/>
            <w:vAlign w:val="center"/>
          </w:tcPr>
          <w:p w14:paraId="27B7503B">
            <w:pPr>
              <w:jc w:val="center"/>
              <w:rPr>
                <w:rFonts w:hint="eastAsia" w:ascii="宋体" w:hAnsi="宋体" w:eastAsia="宋体" w:cs="宋体"/>
                <w:sz w:val="18"/>
                <w:szCs w:val="18"/>
              </w:rPr>
            </w:pPr>
          </w:p>
        </w:tc>
        <w:tc>
          <w:tcPr>
            <w:tcW w:w="1023" w:type="pct"/>
            <w:vAlign w:val="center"/>
          </w:tcPr>
          <w:p w14:paraId="4083101E">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镍及其化合物</w:t>
            </w:r>
          </w:p>
        </w:tc>
        <w:tc>
          <w:tcPr>
            <w:tcW w:w="929" w:type="pct"/>
            <w:vMerge w:val="continue"/>
            <w:vAlign w:val="center"/>
          </w:tcPr>
          <w:p w14:paraId="2A2DA97B">
            <w:pPr>
              <w:jc w:val="center"/>
              <w:rPr>
                <w:rFonts w:hint="eastAsia" w:ascii="宋体" w:hAnsi="宋体" w:eastAsia="宋体" w:cs="宋体"/>
                <w:sz w:val="18"/>
                <w:szCs w:val="18"/>
              </w:rPr>
            </w:pPr>
          </w:p>
        </w:tc>
        <w:tc>
          <w:tcPr>
            <w:tcW w:w="677" w:type="pct"/>
            <w:vMerge w:val="continue"/>
            <w:vAlign w:val="center"/>
          </w:tcPr>
          <w:p w14:paraId="25E6FD45">
            <w:pPr>
              <w:jc w:val="center"/>
              <w:rPr>
                <w:rFonts w:hint="eastAsia" w:ascii="宋体" w:hAnsi="宋体" w:eastAsia="宋体" w:cs="宋体"/>
                <w:sz w:val="18"/>
                <w:szCs w:val="18"/>
              </w:rPr>
            </w:pPr>
          </w:p>
        </w:tc>
      </w:tr>
      <w:tr w14:paraId="053675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 w:hRule="atLeast"/>
          <w:jc w:val="center"/>
        </w:trPr>
        <w:tc>
          <w:tcPr>
            <w:tcW w:w="635" w:type="pct"/>
            <w:vMerge w:val="continue"/>
            <w:vAlign w:val="center"/>
          </w:tcPr>
          <w:p w14:paraId="380E579A">
            <w:pPr>
              <w:jc w:val="center"/>
              <w:rPr>
                <w:rFonts w:hint="eastAsia" w:ascii="宋体" w:hAnsi="宋体" w:eastAsia="宋体" w:cs="宋体"/>
                <w:sz w:val="18"/>
                <w:szCs w:val="18"/>
              </w:rPr>
            </w:pPr>
          </w:p>
        </w:tc>
        <w:tc>
          <w:tcPr>
            <w:tcW w:w="1733" w:type="pct"/>
            <w:gridSpan w:val="2"/>
            <w:vMerge w:val="continue"/>
            <w:vAlign w:val="center"/>
          </w:tcPr>
          <w:p w14:paraId="3B6226D6">
            <w:pPr>
              <w:jc w:val="center"/>
              <w:rPr>
                <w:rFonts w:hint="eastAsia" w:ascii="宋体" w:hAnsi="宋体" w:eastAsia="宋体" w:cs="宋体"/>
                <w:sz w:val="18"/>
                <w:szCs w:val="18"/>
              </w:rPr>
            </w:pPr>
          </w:p>
        </w:tc>
        <w:tc>
          <w:tcPr>
            <w:tcW w:w="1023" w:type="pct"/>
            <w:vAlign w:val="center"/>
          </w:tcPr>
          <w:p w14:paraId="4356424D">
            <w:pPr>
              <w:keepNext w:val="0"/>
              <w:keepLines w:val="0"/>
              <w:pageBreakBefore w:val="0"/>
              <w:widowControl w:val="0"/>
              <w:kinsoku/>
              <w:wordWrap/>
              <w:overflowPunct/>
              <w:topLinePunct w:val="0"/>
              <w:autoSpaceDE/>
              <w:autoSpaceDN/>
              <w:bidi w:val="0"/>
              <w:adjustRightInd w:val="0"/>
              <w:snapToGrid/>
              <w:spacing w:line="32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非甲烷总烃</w:t>
            </w:r>
          </w:p>
        </w:tc>
        <w:tc>
          <w:tcPr>
            <w:tcW w:w="929" w:type="pct"/>
            <w:vMerge w:val="continue"/>
            <w:vAlign w:val="center"/>
          </w:tcPr>
          <w:p w14:paraId="007C67B4">
            <w:pPr>
              <w:jc w:val="center"/>
              <w:rPr>
                <w:rFonts w:hint="eastAsia" w:ascii="宋体" w:hAnsi="宋体" w:eastAsia="宋体" w:cs="宋体"/>
                <w:sz w:val="18"/>
                <w:szCs w:val="18"/>
              </w:rPr>
            </w:pPr>
          </w:p>
        </w:tc>
        <w:tc>
          <w:tcPr>
            <w:tcW w:w="677" w:type="pct"/>
            <w:vMerge w:val="continue"/>
            <w:vAlign w:val="center"/>
          </w:tcPr>
          <w:p w14:paraId="3A106B9E">
            <w:pPr>
              <w:jc w:val="center"/>
              <w:rPr>
                <w:rFonts w:hint="eastAsia" w:ascii="宋体" w:hAnsi="宋体" w:eastAsia="宋体" w:cs="宋体"/>
                <w:sz w:val="18"/>
                <w:szCs w:val="18"/>
                <w:lang w:val="en-US" w:eastAsia="zh-CN"/>
              </w:rPr>
            </w:pPr>
          </w:p>
        </w:tc>
      </w:tr>
    </w:tbl>
    <w:p w14:paraId="3A2972AF">
      <w:pPr>
        <w:pStyle w:val="76"/>
        <w:spacing w:after="156"/>
      </w:pPr>
      <w:bookmarkStart w:id="61" w:name="_Toc16239"/>
      <w:r>
        <w:br w:type="textWrapping"/>
      </w:r>
      <w:bookmarkStart w:id="62" w:name="_Toc132882485"/>
      <w:r>
        <w:rPr>
          <w:rFonts w:hint="eastAsia"/>
        </w:rPr>
        <w:t>（规范性）</w:t>
      </w:r>
      <w:r>
        <w:br w:type="textWrapping"/>
      </w:r>
      <w:bookmarkEnd w:id="62"/>
      <w:r>
        <w:rPr>
          <w:rFonts w:hint="eastAsia"/>
        </w:rPr>
        <w:t>企业废水排放限值及监测要求</w:t>
      </w:r>
      <w:bookmarkEnd w:id="61"/>
    </w:p>
    <w:p w14:paraId="779E919F">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jc w:val="center"/>
        <w:textAlignment w:val="auto"/>
        <w:rPr>
          <w:rFonts w:hint="eastAsia" w:ascii="黑体" w:hAnsi="黑体" w:eastAsia="黑体" w:cs="黑体"/>
        </w:rPr>
      </w:pPr>
      <w:r>
        <w:rPr>
          <w:rFonts w:hint="eastAsia" w:ascii="黑体" w:hAnsi="黑体" w:eastAsia="黑体" w:cs="黑体"/>
          <w:lang w:val="en-US" w:eastAsia="zh-CN"/>
        </w:rPr>
        <w:t xml:space="preserve">表B.1 </w:t>
      </w:r>
      <w:r>
        <w:rPr>
          <w:rFonts w:hint="eastAsia" w:ascii="黑体" w:hAnsi="黑体" w:eastAsia="黑体" w:cs="黑体"/>
        </w:rPr>
        <w:t>企业废水排放限值及监测要求</w:t>
      </w:r>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2"/>
        <w:gridCol w:w="2058"/>
        <w:gridCol w:w="857"/>
        <w:gridCol w:w="898"/>
        <w:gridCol w:w="2735"/>
        <w:gridCol w:w="2140"/>
      </w:tblGrid>
      <w:tr w14:paraId="7C3D7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5000" w:type="pct"/>
            <w:gridSpan w:val="6"/>
            <w:tcBorders>
              <w:top w:val="nil"/>
              <w:left w:val="nil"/>
              <w:bottom w:val="nil"/>
              <w:right w:val="nil"/>
            </w:tcBorders>
            <w:shd w:val="clear" w:color="auto" w:fill="auto"/>
            <w:vAlign w:val="center"/>
          </w:tcPr>
          <w:p w14:paraId="0C7A6C72">
            <w:pPr>
              <w:keepNext w:val="0"/>
              <w:keepLines w:val="0"/>
              <w:widowControl/>
              <w:suppressLineNumbers w:val="0"/>
              <w:jc w:val="righ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单位：mg/L(pH值除外)</w:t>
            </w:r>
          </w:p>
        </w:tc>
      </w:tr>
      <w:tr w14:paraId="16725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4AF1B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序号</w:t>
            </w:r>
          </w:p>
        </w:tc>
        <w:tc>
          <w:tcPr>
            <w:tcW w:w="10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F61871">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污染物</w:t>
            </w:r>
          </w:p>
        </w:tc>
        <w:tc>
          <w:tcPr>
            <w:tcW w:w="9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8CACEB">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排放限值</w:t>
            </w:r>
          </w:p>
        </w:tc>
        <w:tc>
          <w:tcPr>
            <w:tcW w:w="14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CD39B">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default" w:ascii="Times New Roman" w:hAnsi="Times New Roman" w:eastAsia="宋体" w:cs="Times New Roman"/>
                <w:b w:val="0"/>
                <w:bCs w:val="0"/>
                <w:i w:val="0"/>
                <w:iCs w:val="0"/>
                <w:color w:val="000000"/>
                <w:kern w:val="0"/>
                <w:sz w:val="18"/>
                <w:szCs w:val="18"/>
                <w:u w:val="none"/>
                <w:lang w:val="en-US" w:eastAsia="zh-CN" w:bidi="ar"/>
              </w:rPr>
              <w:t>污染物排放</w:t>
            </w:r>
          </w:p>
          <w:p w14:paraId="13C945A2">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监控位置</w:t>
            </w:r>
          </w:p>
        </w:tc>
        <w:tc>
          <w:tcPr>
            <w:tcW w:w="1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6F4CA1">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监测频率</w:t>
            </w:r>
          </w:p>
        </w:tc>
      </w:tr>
      <w:tr w14:paraId="29428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A44F3">
            <w:pPr>
              <w:jc w:val="center"/>
              <w:rPr>
                <w:rFonts w:hint="default" w:ascii="Times New Roman" w:hAnsi="Times New Roman" w:eastAsia="宋体" w:cs="Times New Roman"/>
                <w:b w:val="0"/>
                <w:bCs w:val="0"/>
                <w:i w:val="0"/>
                <w:iCs w:val="0"/>
                <w:color w:val="000000"/>
                <w:sz w:val="18"/>
                <w:szCs w:val="18"/>
                <w:u w:val="none"/>
              </w:rPr>
            </w:pPr>
          </w:p>
        </w:tc>
        <w:tc>
          <w:tcPr>
            <w:tcW w:w="10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CBC16">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A6975">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default" w:ascii="Times New Roman" w:hAnsi="Times New Roman" w:eastAsia="宋体" w:cs="Times New Roman"/>
                <w:b w:val="0"/>
                <w:bCs w:val="0"/>
                <w:i w:val="0"/>
                <w:iCs w:val="0"/>
                <w:color w:val="000000"/>
                <w:kern w:val="0"/>
                <w:sz w:val="18"/>
                <w:szCs w:val="18"/>
                <w:u w:val="none"/>
                <w:lang w:val="en-US" w:eastAsia="zh-CN" w:bidi="ar"/>
              </w:rPr>
              <w:t>直接</w:t>
            </w:r>
          </w:p>
          <w:p w14:paraId="3E84C1D0">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排放</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9C89D">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default" w:ascii="Times New Roman" w:hAnsi="Times New Roman" w:eastAsia="宋体" w:cs="Times New Roman"/>
                <w:b w:val="0"/>
                <w:bCs w:val="0"/>
                <w:i w:val="0"/>
                <w:iCs w:val="0"/>
                <w:color w:val="000000"/>
                <w:kern w:val="0"/>
                <w:sz w:val="18"/>
                <w:szCs w:val="18"/>
                <w:u w:val="none"/>
                <w:lang w:val="en-US" w:eastAsia="zh-CN" w:bidi="ar"/>
              </w:rPr>
              <w:t>间接</w:t>
            </w:r>
          </w:p>
          <w:p w14:paraId="49CB055A">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排放</w:t>
            </w: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71CAC">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86E81">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r>
      <w:tr w14:paraId="22ABD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B357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1</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F9EC4">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pH值</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DBCD">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6~9</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21A3F">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6~9</w:t>
            </w:r>
          </w:p>
        </w:tc>
        <w:tc>
          <w:tcPr>
            <w:tcW w:w="14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18406">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废水排放口</w:t>
            </w: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9924">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实时</w:t>
            </w:r>
          </w:p>
        </w:tc>
      </w:tr>
      <w:tr w14:paraId="3D867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FC35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2</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AE5C5">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化学需氧量</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0A3B2">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70</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759E2">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150</w:t>
            </w: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C753F">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8F8D">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实时</w:t>
            </w:r>
          </w:p>
        </w:tc>
      </w:tr>
      <w:tr w14:paraId="0F846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8F26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3</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A6BBC">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氨氮</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B21E6">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10</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120EA">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30</w:t>
            </w: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05167">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203DF">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实时</w:t>
            </w:r>
          </w:p>
        </w:tc>
      </w:tr>
      <w:tr w14:paraId="7583C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6A12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4</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7E8B5">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悬浮物</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24BAE">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50</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080E8">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140</w:t>
            </w: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F5170">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5B52E">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416CB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7AB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5</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A98F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总磷</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A42C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0.5</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BB41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2.0</w:t>
            </w: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28990">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1138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2F381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82D5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6</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DE76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kern w:val="2"/>
                <w:sz w:val="18"/>
                <w:szCs w:val="18"/>
                <w:u w:val="none"/>
                <w:lang w:val="en-US" w:eastAsia="zh-CN" w:bidi="ar-SA"/>
              </w:rPr>
            </w:pPr>
            <w:r>
              <w:rPr>
                <w:rFonts w:hint="default" w:ascii="Times New Roman" w:hAnsi="Times New Roman" w:eastAsia="宋体" w:cs="Times New Roman"/>
                <w:b w:val="0"/>
                <w:bCs w:val="0"/>
                <w:i w:val="0"/>
                <w:iCs w:val="0"/>
                <w:color w:val="000000"/>
                <w:kern w:val="0"/>
                <w:sz w:val="18"/>
                <w:szCs w:val="18"/>
                <w:u w:val="none"/>
                <w:lang w:val="en-US" w:eastAsia="zh-CN" w:bidi="ar"/>
              </w:rPr>
              <w:t>总钴</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3B781">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kern w:val="2"/>
                <w:sz w:val="18"/>
                <w:szCs w:val="18"/>
                <w:u w:val="none"/>
                <w:lang w:val="en-US" w:eastAsia="zh-CN" w:bidi="ar-SA"/>
              </w:rPr>
            </w:pPr>
            <w:r>
              <w:rPr>
                <w:rFonts w:hint="default" w:ascii="Times New Roman" w:hAnsi="Times New Roman" w:eastAsia="宋体" w:cs="Times New Roman"/>
                <w:b w:val="0"/>
                <w:bCs w:val="0"/>
                <w:i w:val="0"/>
                <w:iCs w:val="0"/>
                <w:color w:val="000000"/>
                <w:kern w:val="0"/>
                <w:sz w:val="18"/>
                <w:szCs w:val="18"/>
                <w:u w:val="none"/>
                <w:lang w:val="en-US" w:eastAsia="zh-CN" w:bidi="ar"/>
              </w:rPr>
              <w:t>0.1</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5D6D8">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i w:val="0"/>
                <w:iCs w:val="0"/>
                <w:color w:val="000000"/>
                <w:kern w:val="0"/>
                <w:sz w:val="18"/>
                <w:szCs w:val="18"/>
                <w:u w:val="none"/>
                <w:lang w:val="en-US" w:eastAsia="zh-CN" w:bidi="ar"/>
              </w:rPr>
              <w:t>0.1</w:t>
            </w: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B54B7">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B910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6F34F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B86D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7</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FA64F">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五日生化需氧量</w:t>
            </w:r>
          </w:p>
        </w:tc>
        <w:tc>
          <w:tcPr>
            <w:tcW w:w="917" w:type="pct"/>
            <w:gridSpan w:val="2"/>
            <w:vMerge w:val="restart"/>
            <w:tcBorders>
              <w:top w:val="single" w:color="000000" w:sz="4" w:space="0"/>
              <w:left w:val="single" w:color="000000" w:sz="4" w:space="0"/>
              <w:right w:val="single" w:color="000000" w:sz="4" w:space="0"/>
            </w:tcBorders>
            <w:shd w:val="clear" w:color="auto" w:fill="auto"/>
            <w:vAlign w:val="center"/>
          </w:tcPr>
          <w:p w14:paraId="0C12358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sz w:val="18"/>
                <w:szCs w:val="18"/>
                <w:u w:val="none"/>
                <w:lang w:val="en-US" w:eastAsia="zh-CN"/>
              </w:rPr>
              <w:t>GB 8978</w:t>
            </w: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0A470">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C5158">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786CE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5E5E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8</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55F4A">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氟化物(以F计)</w:t>
            </w:r>
          </w:p>
        </w:tc>
        <w:tc>
          <w:tcPr>
            <w:tcW w:w="917" w:type="pct"/>
            <w:gridSpan w:val="2"/>
            <w:vMerge w:val="continue"/>
            <w:tcBorders>
              <w:left w:val="single" w:color="000000" w:sz="4" w:space="0"/>
              <w:right w:val="single" w:color="000000" w:sz="4" w:space="0"/>
            </w:tcBorders>
            <w:shd w:val="clear" w:color="auto" w:fill="auto"/>
            <w:vAlign w:val="center"/>
          </w:tcPr>
          <w:p w14:paraId="02FD5198">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BFBA2">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B1AFC">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1545E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914D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9</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2F5C9">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总锌</w:t>
            </w:r>
          </w:p>
        </w:tc>
        <w:tc>
          <w:tcPr>
            <w:tcW w:w="917" w:type="pct"/>
            <w:gridSpan w:val="2"/>
            <w:vMerge w:val="continue"/>
            <w:tcBorders>
              <w:left w:val="single" w:color="000000" w:sz="4" w:space="0"/>
              <w:right w:val="single" w:color="000000" w:sz="4" w:space="0"/>
            </w:tcBorders>
            <w:shd w:val="clear" w:color="auto" w:fill="auto"/>
            <w:vAlign w:val="center"/>
          </w:tcPr>
          <w:p w14:paraId="6A380DA8">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552AC">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9E43C">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024AC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3D1F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10</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F82E">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总锰</w:t>
            </w:r>
          </w:p>
        </w:tc>
        <w:tc>
          <w:tcPr>
            <w:tcW w:w="917" w:type="pct"/>
            <w:gridSpan w:val="2"/>
            <w:vMerge w:val="continue"/>
            <w:tcBorders>
              <w:left w:val="single" w:color="000000" w:sz="4" w:space="0"/>
              <w:right w:val="single" w:color="000000" w:sz="4" w:space="0"/>
            </w:tcBorders>
            <w:shd w:val="clear" w:color="auto" w:fill="auto"/>
            <w:vAlign w:val="center"/>
          </w:tcPr>
          <w:p w14:paraId="67ADA6D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52B3F">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78320">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2554E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7157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11</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645D">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总铜</w:t>
            </w:r>
          </w:p>
        </w:tc>
        <w:tc>
          <w:tcPr>
            <w:tcW w:w="917" w:type="pct"/>
            <w:gridSpan w:val="2"/>
            <w:vMerge w:val="continue"/>
            <w:tcBorders>
              <w:left w:val="single" w:color="000000" w:sz="4" w:space="0"/>
              <w:right w:val="single" w:color="000000" w:sz="4" w:space="0"/>
            </w:tcBorders>
            <w:shd w:val="clear" w:color="auto" w:fill="auto"/>
            <w:vAlign w:val="center"/>
          </w:tcPr>
          <w:p w14:paraId="04907947">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1EC03">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0FDB5">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6718D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E27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12</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D4BF2">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总镍</w:t>
            </w:r>
          </w:p>
        </w:tc>
        <w:tc>
          <w:tcPr>
            <w:tcW w:w="917" w:type="pct"/>
            <w:gridSpan w:val="2"/>
            <w:vMerge w:val="continue"/>
            <w:tcBorders>
              <w:left w:val="single" w:color="000000" w:sz="4" w:space="0"/>
              <w:bottom w:val="single" w:color="000000" w:sz="4" w:space="0"/>
              <w:right w:val="single" w:color="000000" w:sz="4" w:space="0"/>
            </w:tcBorders>
            <w:shd w:val="clear" w:color="auto" w:fill="auto"/>
            <w:vAlign w:val="center"/>
          </w:tcPr>
          <w:p w14:paraId="64BF755A">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p>
        </w:tc>
        <w:tc>
          <w:tcPr>
            <w:tcW w:w="1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53AEE">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05D04">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季度</w:t>
            </w:r>
          </w:p>
        </w:tc>
      </w:tr>
      <w:tr w14:paraId="3D3A6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3BAE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lang w:val="en-US"/>
              </w:rPr>
            </w:pPr>
            <w:r>
              <w:rPr>
                <w:rFonts w:hint="default" w:ascii="Times New Roman" w:hAnsi="Times New Roman" w:eastAsia="宋体" w:cs="Times New Roman"/>
                <w:b w:val="0"/>
                <w:bCs w:val="0"/>
                <w:i w:val="0"/>
                <w:iCs w:val="0"/>
                <w:color w:val="000000"/>
                <w:kern w:val="0"/>
                <w:sz w:val="18"/>
                <w:szCs w:val="18"/>
                <w:u w:val="none"/>
                <w:lang w:val="en-US" w:eastAsia="zh-CN" w:bidi="ar"/>
              </w:rPr>
              <w:t>13</w:t>
            </w:r>
          </w:p>
        </w:tc>
        <w:tc>
          <w:tcPr>
            <w:tcW w:w="10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862DE">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总镍</w:t>
            </w:r>
          </w:p>
        </w:tc>
        <w:tc>
          <w:tcPr>
            <w:tcW w:w="9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36FA3">
            <w:pPr>
              <w:keepNext w:val="0"/>
              <w:keepLines w:val="0"/>
              <w:pageBreakBefore w:val="0"/>
              <w:widowControl/>
              <w:kinsoku/>
              <w:wordWrap/>
              <w:overflowPunct/>
              <w:topLinePunct w:val="0"/>
              <w:autoSpaceDE/>
              <w:autoSpaceDN/>
              <w:bidi w:val="0"/>
              <w:adjustRightInd w:val="0"/>
              <w:snapToGrid/>
              <w:spacing w:line="320" w:lineRule="exact"/>
              <w:jc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sz w:val="18"/>
                <w:szCs w:val="18"/>
                <w:u w:val="none"/>
                <w:lang w:val="en-US" w:eastAsia="zh-CN"/>
              </w:rPr>
              <w:t>GB 8978</w:t>
            </w:r>
          </w:p>
        </w:tc>
        <w:tc>
          <w:tcPr>
            <w:tcW w:w="1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F09EB">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车间或生产设施废水排放口</w:t>
            </w:r>
          </w:p>
        </w:tc>
        <w:tc>
          <w:tcPr>
            <w:tcW w:w="11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DA180">
            <w:pPr>
              <w:keepNext w:val="0"/>
              <w:keepLines w:val="0"/>
              <w:pageBreakBefore w:val="0"/>
              <w:widowControl/>
              <w:suppressLineNumbers w:val="0"/>
              <w:kinsoku/>
              <w:wordWrap/>
              <w:overflowPunct/>
              <w:topLinePunct w:val="0"/>
              <w:autoSpaceDE/>
              <w:autoSpaceDN/>
              <w:bidi w:val="0"/>
              <w:adjustRightInd w:val="0"/>
              <w:snapToGrid/>
              <w:spacing w:line="320" w:lineRule="exact"/>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实时</w:t>
            </w:r>
          </w:p>
        </w:tc>
      </w:tr>
    </w:tbl>
    <w:p w14:paraId="6F0CA0BF">
      <w:pPr>
        <w:widowControl/>
        <w:adjustRightInd/>
        <w:spacing w:line="240" w:lineRule="auto"/>
        <w:jc w:val="center"/>
      </w:pPr>
    </w:p>
    <w:p w14:paraId="0DDD3C1B">
      <w:pPr>
        <w:pStyle w:val="2"/>
      </w:pPr>
    </w:p>
    <w:p w14:paraId="3192AD60">
      <w:pPr>
        <w:pStyle w:val="2"/>
      </w:pPr>
    </w:p>
    <w:p w14:paraId="62130E28">
      <w:pPr>
        <w:pStyle w:val="2"/>
      </w:pPr>
    </w:p>
    <w:p w14:paraId="39D5C41C">
      <w:pPr>
        <w:pStyle w:val="2"/>
      </w:pPr>
    </w:p>
    <w:p w14:paraId="0787AB4D">
      <w:pPr>
        <w:pStyle w:val="2"/>
      </w:pPr>
    </w:p>
    <w:p w14:paraId="327E0F75">
      <w:pPr>
        <w:pStyle w:val="2"/>
      </w:pPr>
    </w:p>
    <w:p w14:paraId="7F25C780">
      <w:pPr>
        <w:pStyle w:val="2"/>
      </w:pPr>
    </w:p>
    <w:p w14:paraId="7E74919D">
      <w:pPr>
        <w:pStyle w:val="76"/>
        <w:spacing w:after="156"/>
        <w:rPr>
          <w:rFonts w:hint="eastAsia"/>
        </w:rPr>
      </w:pPr>
      <w:bookmarkStart w:id="63" w:name="_Toc781"/>
      <w:r>
        <w:br w:type="textWrapping"/>
      </w:r>
      <w:r>
        <w:rPr>
          <w:rFonts w:hint="eastAsia"/>
        </w:rPr>
        <w:t>（规范性）</w:t>
      </w:r>
      <w:r>
        <w:br w:type="textWrapping"/>
      </w:r>
      <w:r>
        <w:rPr>
          <w:rFonts w:hint="eastAsia"/>
        </w:rPr>
        <w:t>企业清洁生产指标要求</w:t>
      </w:r>
      <w:bookmarkEnd w:id="63"/>
    </w:p>
    <w:p w14:paraId="2638D726">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jc w:val="center"/>
        <w:textAlignment w:val="auto"/>
        <w:rPr>
          <w:rFonts w:hint="eastAsia" w:ascii="黑体" w:hAnsi="黑体" w:eastAsia="黑体" w:cs="黑体"/>
        </w:rPr>
      </w:pPr>
      <w:r>
        <w:rPr>
          <w:rFonts w:hint="eastAsia" w:ascii="黑体" w:hAnsi="黑体" w:eastAsia="黑体" w:cs="黑体"/>
          <w:lang w:val="en-US" w:eastAsia="zh-CN"/>
        </w:rPr>
        <w:t xml:space="preserve">表C.1 </w:t>
      </w:r>
      <w:r>
        <w:rPr>
          <w:rFonts w:hint="eastAsia" w:ascii="黑体" w:hAnsi="黑体" w:eastAsia="黑体" w:cs="黑体"/>
        </w:rPr>
        <w:t>企业清洁生产指标要求</w:t>
      </w:r>
    </w:p>
    <w:tbl>
      <w:tblPr>
        <w:tblStyle w:val="2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2626"/>
        <w:gridCol w:w="2436"/>
      </w:tblGrid>
      <w:tr w14:paraId="3D151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2626" w:type="dxa"/>
            <w:tcBorders>
              <w:top w:val="single" w:color="auto" w:sz="4" w:space="0"/>
              <w:left w:val="single" w:color="auto" w:sz="4" w:space="0"/>
              <w:bottom w:val="single" w:color="auto" w:sz="4" w:space="0"/>
              <w:right w:val="single" w:color="auto" w:sz="4" w:space="0"/>
            </w:tcBorders>
            <w:vAlign w:val="center"/>
          </w:tcPr>
          <w:p w14:paraId="3E7B6499">
            <w:pPr>
              <w:pStyle w:val="235"/>
              <w:keepNext w:val="0"/>
              <w:keepLines w:val="0"/>
              <w:pageBreakBefore w:val="0"/>
              <w:widowControl w:val="0"/>
              <w:kinsoku/>
              <w:wordWrap/>
              <w:overflowPunct/>
              <w:topLinePunct w:val="0"/>
              <w:autoSpaceDE/>
              <w:autoSpaceDN/>
              <w:bidi w:val="0"/>
              <w:adjustRightInd/>
              <w:snapToGrid/>
              <w:spacing w:before="0" w:line="217" w:lineRule="exact"/>
              <w:ind w:right="0" w:rightChars="0"/>
              <w:jc w:val="center"/>
              <w:textAlignment w:val="auto"/>
              <w:rPr>
                <w:rFonts w:hint="default" w:ascii="Times New Roman" w:hAnsi="Times New Roman" w:eastAsia="宋体" w:cs="Times New Roman"/>
                <w:kern w:val="2"/>
                <w:sz w:val="18"/>
                <w:szCs w:val="18"/>
                <w:lang w:val="en-US" w:eastAsia="zh-CN" w:bidi="en-US"/>
              </w:rPr>
            </w:pPr>
            <w:r>
              <w:rPr>
                <w:rFonts w:hint="default" w:ascii="Times New Roman" w:hAnsi="Times New Roman" w:eastAsia="宋体" w:cs="Times New Roman"/>
                <w:kern w:val="2"/>
                <w:sz w:val="18"/>
                <w:szCs w:val="18"/>
                <w:lang w:val="en-US" w:eastAsia="zh-CN" w:bidi="en-US"/>
              </w:rPr>
              <w:t>指</w:t>
            </w:r>
            <w:r>
              <w:rPr>
                <w:rFonts w:hint="default" w:ascii="Times New Roman" w:hAnsi="Times New Roman" w:cs="Times New Roman"/>
                <w:kern w:val="2"/>
                <w:sz w:val="18"/>
                <w:szCs w:val="18"/>
                <w:lang w:val="en-US" w:eastAsia="zh-CN" w:bidi="en-US"/>
              </w:rPr>
              <w:t xml:space="preserve"> </w:t>
            </w:r>
            <w:r>
              <w:rPr>
                <w:rFonts w:hint="default" w:ascii="Times New Roman" w:hAnsi="Times New Roman" w:eastAsia="宋体" w:cs="Times New Roman"/>
                <w:kern w:val="2"/>
                <w:sz w:val="18"/>
                <w:szCs w:val="18"/>
                <w:lang w:val="en-US" w:eastAsia="zh-CN" w:bidi="en-US"/>
              </w:rPr>
              <w:t>标</w:t>
            </w:r>
          </w:p>
        </w:tc>
        <w:tc>
          <w:tcPr>
            <w:tcW w:w="2436" w:type="dxa"/>
            <w:tcBorders>
              <w:top w:val="single" w:color="auto" w:sz="4" w:space="0"/>
              <w:left w:val="single" w:color="auto" w:sz="4" w:space="0"/>
              <w:bottom w:val="single" w:color="auto" w:sz="4" w:space="0"/>
              <w:right w:val="single" w:color="auto" w:sz="4" w:space="0"/>
            </w:tcBorders>
            <w:vAlign w:val="center"/>
          </w:tcPr>
          <w:p w14:paraId="1F3F1FF9">
            <w:pPr>
              <w:pStyle w:val="235"/>
              <w:keepNext w:val="0"/>
              <w:keepLines w:val="0"/>
              <w:pageBreakBefore w:val="0"/>
              <w:widowControl w:val="0"/>
              <w:kinsoku/>
              <w:wordWrap/>
              <w:overflowPunct/>
              <w:topLinePunct w:val="0"/>
              <w:autoSpaceDE/>
              <w:autoSpaceDN/>
              <w:bidi w:val="0"/>
              <w:adjustRightInd/>
              <w:snapToGrid/>
              <w:spacing w:before="0" w:line="217" w:lineRule="exact"/>
              <w:ind w:left="0" w:right="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指</w:t>
            </w:r>
            <w:r>
              <w:rPr>
                <w:rFonts w:hint="default" w:ascii="Times New Roman" w:hAnsi="Times New Roman" w:cs="Times New Roman"/>
                <w:sz w:val="18"/>
                <w:szCs w:val="18"/>
                <w:lang w:val="en-US" w:eastAsia="zh-CN"/>
              </w:rPr>
              <w:t xml:space="preserve"> </w:t>
            </w:r>
            <w:r>
              <w:rPr>
                <w:rFonts w:hint="default" w:ascii="Times New Roman" w:hAnsi="Times New Roman" w:eastAsia="宋体" w:cs="Times New Roman"/>
                <w:sz w:val="18"/>
                <w:szCs w:val="18"/>
                <w:lang w:val="en-US" w:eastAsia="zh-CN"/>
              </w:rPr>
              <w:t>标</w:t>
            </w:r>
            <w:r>
              <w:rPr>
                <w:rFonts w:hint="default" w:ascii="Times New Roman" w:hAnsi="Times New Roman" w:cs="Times New Roman"/>
                <w:sz w:val="18"/>
                <w:szCs w:val="18"/>
                <w:lang w:val="en-US" w:eastAsia="zh-CN"/>
              </w:rPr>
              <w:t xml:space="preserve"> </w:t>
            </w:r>
            <w:r>
              <w:rPr>
                <w:rFonts w:hint="default" w:ascii="Times New Roman" w:hAnsi="Times New Roman" w:eastAsia="宋体" w:cs="Times New Roman"/>
                <w:sz w:val="18"/>
                <w:szCs w:val="18"/>
                <w:lang w:val="en-US" w:eastAsia="zh-CN"/>
              </w:rPr>
              <w:t>值</w:t>
            </w:r>
          </w:p>
        </w:tc>
      </w:tr>
      <w:tr w14:paraId="29857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5062" w:type="dxa"/>
            <w:gridSpan w:val="2"/>
            <w:tcBorders>
              <w:top w:val="single" w:color="000000" w:sz="4" w:space="0"/>
              <w:bottom w:val="single" w:color="000000" w:sz="4" w:space="0"/>
              <w:right w:val="single" w:color="auto" w:sz="4" w:space="0"/>
            </w:tcBorders>
            <w:vAlign w:val="top"/>
          </w:tcPr>
          <w:p w14:paraId="1D6968BC">
            <w:pPr>
              <w:pStyle w:val="235"/>
              <w:spacing w:before="51" w:line="219" w:lineRule="exact"/>
              <w:ind w:left="27"/>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一</w:t>
            </w:r>
            <w:r>
              <w:rPr>
                <w:rFonts w:hint="default" w:ascii="Times New Roman" w:hAnsi="Times New Roman" w:eastAsia="宋体" w:cs="Times New Roman"/>
                <w:sz w:val="18"/>
                <w:szCs w:val="18"/>
              </w:rPr>
              <w:t>、产品指标</w:t>
            </w:r>
          </w:p>
        </w:tc>
      </w:tr>
      <w:tr w14:paraId="0DCB5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2" w:hRule="atLeast"/>
          <w:jc w:val="center"/>
        </w:trPr>
        <w:tc>
          <w:tcPr>
            <w:tcW w:w="2626" w:type="dxa"/>
            <w:tcBorders>
              <w:top w:val="single" w:color="000000" w:sz="4" w:space="0"/>
              <w:bottom w:val="single" w:color="auto" w:sz="4" w:space="0"/>
              <w:right w:val="single" w:color="000000" w:sz="4" w:space="0"/>
            </w:tcBorders>
            <w:vAlign w:val="top"/>
          </w:tcPr>
          <w:p w14:paraId="60D61CFB">
            <w:pPr>
              <w:pStyle w:val="235"/>
              <w:spacing w:before="51" w:line="219" w:lineRule="exact"/>
              <w:ind w:left="27"/>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碳酸锂</w:t>
            </w:r>
          </w:p>
        </w:tc>
        <w:tc>
          <w:tcPr>
            <w:tcW w:w="2436" w:type="dxa"/>
            <w:tcBorders>
              <w:top w:val="single" w:color="000000" w:sz="4" w:space="0"/>
              <w:left w:val="single" w:color="000000" w:sz="4" w:space="0"/>
              <w:bottom w:val="single" w:color="auto" w:sz="4" w:space="0"/>
              <w:right w:val="single" w:color="auto" w:sz="4" w:space="0"/>
            </w:tcBorders>
            <w:vAlign w:val="center"/>
          </w:tcPr>
          <w:p w14:paraId="00F6BF10">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CN"/>
              </w:rPr>
              <w:t>符合</w:t>
            </w:r>
            <w:r>
              <w:rPr>
                <w:rFonts w:hint="default" w:ascii="Times New Roman" w:hAnsi="Times New Roman" w:eastAsia="宋体" w:cs="Times New Roman"/>
                <w:sz w:val="18"/>
                <w:szCs w:val="18"/>
                <w:lang w:val="en-US" w:eastAsia="zh-CN"/>
              </w:rPr>
              <w:t>YS</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T 582</w:t>
            </w:r>
          </w:p>
        </w:tc>
      </w:tr>
      <w:tr w14:paraId="4B5FD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68" w:hRule="atLeast"/>
          <w:jc w:val="center"/>
        </w:trPr>
        <w:tc>
          <w:tcPr>
            <w:tcW w:w="2626" w:type="dxa"/>
            <w:tcBorders>
              <w:top w:val="single" w:color="auto" w:sz="4" w:space="0"/>
              <w:bottom w:val="single" w:color="000000" w:sz="4" w:space="0"/>
              <w:right w:val="single" w:color="000000" w:sz="4" w:space="0"/>
            </w:tcBorders>
            <w:vAlign w:val="top"/>
          </w:tcPr>
          <w:p w14:paraId="2DECDE6F">
            <w:pPr>
              <w:pStyle w:val="235"/>
              <w:spacing w:before="51" w:line="219" w:lineRule="exact"/>
              <w:ind w:left="27"/>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氢氧化锂</w:t>
            </w:r>
          </w:p>
        </w:tc>
        <w:tc>
          <w:tcPr>
            <w:tcW w:w="2436" w:type="dxa"/>
            <w:tcBorders>
              <w:top w:val="single" w:color="auto" w:sz="4" w:space="0"/>
              <w:left w:val="single" w:color="000000" w:sz="4" w:space="0"/>
              <w:bottom w:val="single" w:color="000000" w:sz="4" w:space="0"/>
              <w:right w:val="single" w:color="auto" w:sz="4" w:space="0"/>
            </w:tcBorders>
            <w:vAlign w:val="center"/>
          </w:tcPr>
          <w:p w14:paraId="39AB87F3">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CN"/>
              </w:rPr>
              <w:t xml:space="preserve">符合GB/T </w:t>
            </w:r>
            <w:r>
              <w:rPr>
                <w:rFonts w:hint="default" w:ascii="Times New Roman" w:hAnsi="Times New Roman" w:eastAsia="宋体" w:cs="Times New Roman"/>
                <w:sz w:val="18"/>
                <w:szCs w:val="18"/>
                <w:lang w:val="en-US" w:eastAsia="zh-CN"/>
              </w:rPr>
              <w:t>26008</w:t>
            </w:r>
          </w:p>
        </w:tc>
      </w:tr>
      <w:tr w14:paraId="7CB122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0" w:hRule="atLeast"/>
          <w:jc w:val="center"/>
        </w:trPr>
        <w:tc>
          <w:tcPr>
            <w:tcW w:w="2626" w:type="dxa"/>
            <w:tcBorders>
              <w:top w:val="single" w:color="000000" w:sz="4" w:space="0"/>
              <w:bottom w:val="single" w:color="auto" w:sz="4" w:space="0"/>
              <w:right w:val="single" w:color="000000" w:sz="4" w:space="0"/>
            </w:tcBorders>
            <w:vAlign w:val="top"/>
          </w:tcPr>
          <w:p w14:paraId="245BA921">
            <w:pPr>
              <w:pStyle w:val="235"/>
              <w:spacing w:before="51" w:line="219" w:lineRule="exact"/>
              <w:ind w:left="27"/>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磷酸铁</w:t>
            </w:r>
          </w:p>
        </w:tc>
        <w:tc>
          <w:tcPr>
            <w:tcW w:w="2436" w:type="dxa"/>
            <w:tcBorders>
              <w:top w:val="single" w:color="000000" w:sz="4" w:space="0"/>
              <w:left w:val="single" w:color="000000" w:sz="4" w:space="0"/>
              <w:bottom w:val="single" w:color="auto" w:sz="4" w:space="0"/>
              <w:right w:val="single" w:color="auto" w:sz="4" w:space="0"/>
            </w:tcBorders>
            <w:vAlign w:val="center"/>
          </w:tcPr>
          <w:p w14:paraId="25C5B5D1">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符合HG/T 4701</w:t>
            </w:r>
          </w:p>
        </w:tc>
      </w:tr>
      <w:tr w14:paraId="54F9C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0" w:hRule="atLeast"/>
          <w:jc w:val="center"/>
        </w:trPr>
        <w:tc>
          <w:tcPr>
            <w:tcW w:w="2626" w:type="dxa"/>
            <w:tcBorders>
              <w:top w:val="single" w:color="auto" w:sz="4" w:space="0"/>
              <w:bottom w:val="single" w:color="000000" w:sz="4" w:space="0"/>
              <w:right w:val="single" w:color="000000" w:sz="4" w:space="0"/>
            </w:tcBorders>
            <w:vAlign w:val="top"/>
          </w:tcPr>
          <w:p w14:paraId="264E6EFF">
            <w:pPr>
              <w:pStyle w:val="235"/>
              <w:spacing w:before="51" w:line="219" w:lineRule="exact"/>
              <w:ind w:left="27"/>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氯化镍</w:t>
            </w:r>
          </w:p>
        </w:tc>
        <w:tc>
          <w:tcPr>
            <w:tcW w:w="2436" w:type="dxa"/>
            <w:tcBorders>
              <w:top w:val="single" w:color="auto" w:sz="4" w:space="0"/>
              <w:left w:val="single" w:color="000000" w:sz="4" w:space="0"/>
              <w:bottom w:val="single" w:color="000000" w:sz="4" w:space="0"/>
              <w:right w:val="single" w:color="auto" w:sz="4" w:space="0"/>
            </w:tcBorders>
            <w:vAlign w:val="center"/>
          </w:tcPr>
          <w:p w14:paraId="41AFC145">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CN"/>
              </w:rPr>
              <w:t xml:space="preserve">符合GB/T </w:t>
            </w:r>
            <w:r>
              <w:rPr>
                <w:rFonts w:hint="default" w:ascii="Times New Roman" w:hAnsi="Times New Roman" w:eastAsia="宋体" w:cs="Times New Roman"/>
                <w:sz w:val="18"/>
                <w:szCs w:val="18"/>
                <w:lang w:val="en-US" w:eastAsia="zh-CN"/>
              </w:rPr>
              <w:t>26522</w:t>
            </w:r>
          </w:p>
        </w:tc>
      </w:tr>
      <w:tr w14:paraId="135B2E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2626" w:type="dxa"/>
            <w:tcBorders>
              <w:top w:val="single" w:color="000000" w:sz="4" w:space="0"/>
              <w:bottom w:val="single" w:color="000000" w:sz="4" w:space="0"/>
              <w:right w:val="single" w:color="000000" w:sz="4" w:space="0"/>
            </w:tcBorders>
            <w:vAlign w:val="top"/>
          </w:tcPr>
          <w:p w14:paraId="38AA6302">
            <w:pPr>
              <w:pStyle w:val="235"/>
              <w:spacing w:before="51" w:line="219" w:lineRule="exact"/>
              <w:ind w:left="27"/>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硫酸镍</w:t>
            </w:r>
          </w:p>
        </w:tc>
        <w:tc>
          <w:tcPr>
            <w:tcW w:w="2436" w:type="dxa"/>
            <w:tcBorders>
              <w:top w:val="single" w:color="000000" w:sz="4" w:space="0"/>
              <w:left w:val="single" w:color="000000" w:sz="4" w:space="0"/>
              <w:bottom w:val="single" w:color="000000" w:sz="4" w:space="0"/>
              <w:right w:val="single" w:color="auto" w:sz="4" w:space="0"/>
            </w:tcBorders>
            <w:vAlign w:val="center"/>
          </w:tcPr>
          <w:p w14:paraId="5F7DF595">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CN"/>
              </w:rPr>
              <w:t xml:space="preserve">符合GB/T </w:t>
            </w:r>
            <w:r>
              <w:rPr>
                <w:rFonts w:hint="default" w:ascii="Times New Roman" w:hAnsi="Times New Roman" w:eastAsia="宋体" w:cs="Times New Roman"/>
                <w:sz w:val="18"/>
                <w:szCs w:val="18"/>
                <w:lang w:val="en-US" w:eastAsia="zh-CN"/>
              </w:rPr>
              <w:t>26524</w:t>
            </w:r>
          </w:p>
        </w:tc>
      </w:tr>
      <w:tr w14:paraId="3120D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0" w:hRule="atLeast"/>
          <w:jc w:val="center"/>
        </w:trPr>
        <w:tc>
          <w:tcPr>
            <w:tcW w:w="2626" w:type="dxa"/>
            <w:tcBorders>
              <w:top w:val="single" w:color="000000" w:sz="4" w:space="0"/>
              <w:bottom w:val="single" w:color="auto" w:sz="4" w:space="0"/>
              <w:right w:val="single" w:color="000000" w:sz="4" w:space="0"/>
            </w:tcBorders>
            <w:vAlign w:val="top"/>
          </w:tcPr>
          <w:p w14:paraId="76B5389D">
            <w:pPr>
              <w:pStyle w:val="235"/>
              <w:spacing w:before="51" w:line="219" w:lineRule="exact"/>
              <w:ind w:left="27"/>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氯化钴</w:t>
            </w:r>
          </w:p>
        </w:tc>
        <w:tc>
          <w:tcPr>
            <w:tcW w:w="2436" w:type="dxa"/>
            <w:tcBorders>
              <w:top w:val="single" w:color="000000" w:sz="4" w:space="0"/>
              <w:left w:val="single" w:color="000000" w:sz="4" w:space="0"/>
              <w:bottom w:val="single" w:color="auto" w:sz="4" w:space="0"/>
              <w:right w:val="single" w:color="auto" w:sz="4" w:space="0"/>
            </w:tcBorders>
            <w:vAlign w:val="center"/>
          </w:tcPr>
          <w:p w14:paraId="5BCB9C9C">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CN"/>
              </w:rPr>
              <w:t xml:space="preserve">符合GB/T </w:t>
            </w:r>
            <w:r>
              <w:rPr>
                <w:rFonts w:hint="default" w:ascii="Times New Roman" w:hAnsi="Times New Roman" w:eastAsia="宋体" w:cs="Times New Roman"/>
                <w:sz w:val="18"/>
                <w:szCs w:val="18"/>
                <w:lang w:val="en-US" w:eastAsia="zh-CN"/>
              </w:rPr>
              <w:t>26525</w:t>
            </w:r>
          </w:p>
        </w:tc>
      </w:tr>
      <w:tr w14:paraId="3F939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0" w:hRule="atLeast"/>
          <w:jc w:val="center"/>
        </w:trPr>
        <w:tc>
          <w:tcPr>
            <w:tcW w:w="2626" w:type="dxa"/>
            <w:tcBorders>
              <w:top w:val="single" w:color="auto" w:sz="4" w:space="0"/>
              <w:bottom w:val="single" w:color="000000" w:sz="4" w:space="0"/>
              <w:right w:val="single" w:color="000000" w:sz="4" w:space="0"/>
            </w:tcBorders>
            <w:vAlign w:val="top"/>
          </w:tcPr>
          <w:p w14:paraId="36A0072B">
            <w:pPr>
              <w:pStyle w:val="235"/>
              <w:spacing w:before="51" w:line="219" w:lineRule="exact"/>
              <w:ind w:left="27"/>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硫酸钴</w:t>
            </w:r>
          </w:p>
        </w:tc>
        <w:tc>
          <w:tcPr>
            <w:tcW w:w="2436" w:type="dxa"/>
            <w:tcBorders>
              <w:top w:val="single" w:color="auto" w:sz="4" w:space="0"/>
              <w:left w:val="single" w:color="000000" w:sz="4" w:space="0"/>
              <w:bottom w:val="single" w:color="000000" w:sz="4" w:space="0"/>
              <w:right w:val="single" w:color="auto" w:sz="4" w:space="0"/>
            </w:tcBorders>
            <w:vAlign w:val="center"/>
          </w:tcPr>
          <w:p w14:paraId="4A7C6C2A">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CN"/>
              </w:rPr>
              <w:t xml:space="preserve">符合GB/T </w:t>
            </w:r>
            <w:r>
              <w:rPr>
                <w:rFonts w:hint="default" w:ascii="Times New Roman" w:hAnsi="Times New Roman" w:eastAsia="宋体" w:cs="Times New Roman"/>
                <w:sz w:val="18"/>
                <w:szCs w:val="18"/>
                <w:lang w:val="en-US" w:eastAsia="zh-CN"/>
              </w:rPr>
              <w:t>26523</w:t>
            </w:r>
          </w:p>
        </w:tc>
      </w:tr>
      <w:tr w14:paraId="1529C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0" w:hRule="atLeast"/>
          <w:jc w:val="center"/>
        </w:trPr>
        <w:tc>
          <w:tcPr>
            <w:tcW w:w="2626" w:type="dxa"/>
            <w:tcBorders>
              <w:top w:val="single" w:color="000000" w:sz="4" w:space="0"/>
              <w:bottom w:val="single" w:color="auto" w:sz="4" w:space="0"/>
              <w:right w:val="single" w:color="000000" w:sz="4" w:space="0"/>
            </w:tcBorders>
            <w:vAlign w:val="top"/>
          </w:tcPr>
          <w:p w14:paraId="3EDF26FD">
            <w:pPr>
              <w:pStyle w:val="235"/>
              <w:spacing w:before="51" w:line="219" w:lineRule="exact"/>
              <w:ind w:left="27"/>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氯化锰</w:t>
            </w:r>
          </w:p>
        </w:tc>
        <w:tc>
          <w:tcPr>
            <w:tcW w:w="2436" w:type="dxa"/>
            <w:tcBorders>
              <w:top w:val="single" w:color="000000" w:sz="4" w:space="0"/>
              <w:left w:val="single" w:color="000000" w:sz="4" w:space="0"/>
              <w:bottom w:val="single" w:color="auto" w:sz="4" w:space="0"/>
              <w:right w:val="single" w:color="auto" w:sz="4" w:space="0"/>
            </w:tcBorders>
            <w:vAlign w:val="center"/>
          </w:tcPr>
          <w:p w14:paraId="0E1F3835">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符合HG/T 3816</w:t>
            </w:r>
          </w:p>
        </w:tc>
      </w:tr>
      <w:tr w14:paraId="07AC9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0" w:hRule="atLeast"/>
          <w:jc w:val="center"/>
        </w:trPr>
        <w:tc>
          <w:tcPr>
            <w:tcW w:w="2626" w:type="dxa"/>
            <w:tcBorders>
              <w:top w:val="single" w:color="auto" w:sz="4" w:space="0"/>
              <w:bottom w:val="single" w:color="auto" w:sz="4" w:space="0"/>
              <w:right w:val="single" w:color="000000" w:sz="4" w:space="0"/>
            </w:tcBorders>
            <w:vAlign w:val="top"/>
          </w:tcPr>
          <w:p w14:paraId="2755FE07">
            <w:pPr>
              <w:pStyle w:val="235"/>
              <w:spacing w:before="51" w:line="219" w:lineRule="exact"/>
              <w:ind w:left="27"/>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硫酸锰</w:t>
            </w:r>
          </w:p>
        </w:tc>
        <w:tc>
          <w:tcPr>
            <w:tcW w:w="2436" w:type="dxa"/>
            <w:tcBorders>
              <w:top w:val="single" w:color="auto" w:sz="4" w:space="0"/>
              <w:left w:val="single" w:color="000000" w:sz="4" w:space="0"/>
              <w:bottom w:val="single" w:color="auto" w:sz="4" w:space="0"/>
              <w:right w:val="single" w:color="auto" w:sz="4" w:space="0"/>
            </w:tcBorders>
            <w:vAlign w:val="center"/>
          </w:tcPr>
          <w:p w14:paraId="404415A1">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eastAsia="zh-CN"/>
              </w:rPr>
              <w:t xml:space="preserve">符合HG/T </w:t>
            </w:r>
            <w:r>
              <w:rPr>
                <w:rFonts w:hint="default" w:ascii="Times New Roman" w:hAnsi="Times New Roman" w:eastAsia="宋体" w:cs="Times New Roman"/>
                <w:sz w:val="18"/>
                <w:szCs w:val="18"/>
                <w:lang w:val="en-US" w:eastAsia="zh-CN"/>
              </w:rPr>
              <w:t>4823</w:t>
            </w:r>
          </w:p>
        </w:tc>
      </w:tr>
      <w:tr w14:paraId="7CE36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0" w:hRule="atLeast"/>
          <w:jc w:val="center"/>
        </w:trPr>
        <w:tc>
          <w:tcPr>
            <w:tcW w:w="2626" w:type="dxa"/>
            <w:tcBorders>
              <w:top w:val="single" w:color="auto" w:sz="4" w:space="0"/>
              <w:bottom w:val="single" w:color="auto" w:sz="4" w:space="0"/>
              <w:right w:val="single" w:color="000000" w:sz="4" w:space="0"/>
            </w:tcBorders>
            <w:vAlign w:val="top"/>
          </w:tcPr>
          <w:p w14:paraId="5C8A97D6">
            <w:pPr>
              <w:pStyle w:val="235"/>
              <w:spacing w:before="51" w:line="219" w:lineRule="exact"/>
              <w:ind w:left="27"/>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镍钴锰三元素复合氢氧化物</w:t>
            </w:r>
          </w:p>
        </w:tc>
        <w:tc>
          <w:tcPr>
            <w:tcW w:w="2436" w:type="dxa"/>
            <w:tcBorders>
              <w:top w:val="single" w:color="auto" w:sz="4" w:space="0"/>
              <w:left w:val="single" w:color="000000" w:sz="4" w:space="0"/>
              <w:bottom w:val="single" w:color="auto" w:sz="4" w:space="0"/>
              <w:right w:val="single" w:color="auto" w:sz="4" w:space="0"/>
            </w:tcBorders>
            <w:vAlign w:val="center"/>
          </w:tcPr>
          <w:p w14:paraId="37C92C0C">
            <w:pPr>
              <w:pStyle w:val="235"/>
              <w:keepNext w:val="0"/>
              <w:keepLines w:val="0"/>
              <w:pageBreakBefore w:val="0"/>
              <w:widowControl w:val="0"/>
              <w:kinsoku/>
              <w:wordWrap/>
              <w:overflowPunct/>
              <w:topLinePunct w:val="0"/>
              <w:autoSpaceDE/>
              <w:autoSpaceDN/>
              <w:bidi w:val="0"/>
              <w:adjustRightInd/>
              <w:snapToGrid/>
              <w:spacing w:before="0" w:line="219" w:lineRule="exact"/>
              <w:ind w:left="0" w:leftChars="0"/>
              <w:jc w:val="center"/>
              <w:textAlignment w:val="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符合GB/T 26300</w:t>
            </w:r>
          </w:p>
        </w:tc>
      </w:tr>
      <w:tr w14:paraId="00C67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5062" w:type="dxa"/>
            <w:gridSpan w:val="2"/>
            <w:tcBorders>
              <w:top w:val="single" w:color="000000" w:sz="4" w:space="0"/>
              <w:bottom w:val="single" w:color="000000" w:sz="4" w:space="0"/>
              <w:right w:val="single" w:color="auto" w:sz="4" w:space="0"/>
            </w:tcBorders>
            <w:vAlign w:val="top"/>
          </w:tcPr>
          <w:p w14:paraId="0B042DE0">
            <w:pPr>
              <w:pStyle w:val="235"/>
              <w:spacing w:before="51" w:line="219" w:lineRule="exact"/>
              <w:ind w:left="27"/>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二</w:t>
            </w:r>
            <w:r>
              <w:rPr>
                <w:rFonts w:hint="default" w:ascii="Times New Roman" w:hAnsi="Times New Roman" w:eastAsia="宋体" w:cs="Times New Roman"/>
                <w:sz w:val="18"/>
                <w:szCs w:val="18"/>
              </w:rPr>
              <w:t>、资源利用指标</w:t>
            </w:r>
          </w:p>
        </w:tc>
      </w:tr>
      <w:tr w14:paraId="128C08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2626" w:type="dxa"/>
            <w:tcBorders>
              <w:top w:val="single" w:color="000000" w:sz="4" w:space="0"/>
              <w:bottom w:val="single" w:color="000000" w:sz="4" w:space="0"/>
              <w:right w:val="single" w:color="000000" w:sz="4" w:space="0"/>
            </w:tcBorders>
            <w:shd w:val="clear" w:color="auto" w:fill="auto"/>
            <w:vAlign w:val="top"/>
          </w:tcPr>
          <w:p w14:paraId="7BFEEA92">
            <w:pPr>
              <w:pStyle w:val="235"/>
              <w:spacing w:before="51" w:line="219" w:lineRule="exact"/>
              <w:ind w:left="27" w:leftChars="0"/>
              <w:jc w:val="center"/>
              <w:rPr>
                <w:rFonts w:hint="default" w:ascii="Times New Roman" w:hAnsi="Times New Roman" w:eastAsia="宋体" w:cs="Times New Roman"/>
                <w:kern w:val="2"/>
                <w:sz w:val="18"/>
                <w:szCs w:val="18"/>
                <w:lang w:val="en-US" w:eastAsia="en-US" w:bidi="en-US"/>
              </w:rPr>
            </w:pPr>
            <w:r>
              <w:rPr>
                <w:rFonts w:hint="default" w:ascii="Times New Roman" w:hAnsi="Times New Roman" w:eastAsia="宋体" w:cs="Times New Roman"/>
                <w:sz w:val="18"/>
                <w:szCs w:val="18"/>
                <w:lang w:val="en-US" w:eastAsia="zh-CN"/>
              </w:rPr>
              <w:t>1</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lang w:val="en-US" w:eastAsia="zh-CN"/>
              </w:rPr>
              <w:t>镍</w:t>
            </w:r>
            <w:r>
              <w:rPr>
                <w:rFonts w:hint="default" w:ascii="Times New Roman" w:hAnsi="Times New Roman" w:eastAsia="宋体" w:cs="Times New Roman"/>
                <w:sz w:val="18"/>
                <w:szCs w:val="18"/>
              </w:rPr>
              <w:t>总</w:t>
            </w:r>
            <w:r>
              <w:rPr>
                <w:rFonts w:hint="default" w:ascii="Times New Roman" w:hAnsi="Times New Roman" w:eastAsia="宋体" w:cs="Times New Roman"/>
                <w:sz w:val="18"/>
                <w:szCs w:val="18"/>
                <w:lang w:val="en-US" w:eastAsia="zh-CN"/>
              </w:rPr>
              <w:t>回收</w:t>
            </w:r>
            <w:r>
              <w:rPr>
                <w:rFonts w:hint="default" w:ascii="Times New Roman" w:hAnsi="Times New Roman" w:eastAsia="宋体" w:cs="Times New Roman"/>
                <w:sz w:val="18"/>
                <w:szCs w:val="18"/>
              </w:rPr>
              <w:t>率/%</w:t>
            </w:r>
          </w:p>
        </w:tc>
        <w:tc>
          <w:tcPr>
            <w:tcW w:w="2436" w:type="dxa"/>
            <w:tcBorders>
              <w:top w:val="single" w:color="000000" w:sz="4" w:space="0"/>
              <w:left w:val="single" w:color="000000" w:sz="4" w:space="0"/>
              <w:bottom w:val="single" w:color="000000" w:sz="4" w:space="0"/>
              <w:right w:val="single" w:color="000000" w:sz="4" w:space="0"/>
            </w:tcBorders>
            <w:shd w:val="clear" w:color="auto" w:fill="auto"/>
            <w:vAlign w:val="top"/>
          </w:tcPr>
          <w:p w14:paraId="26FF0AA8">
            <w:pPr>
              <w:pStyle w:val="235"/>
              <w:spacing w:before="51" w:line="219" w:lineRule="exact"/>
              <w:ind w:left="802" w:leftChars="0" w:right="786" w:rightChars="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≥9</w:t>
            </w:r>
            <w:r>
              <w:rPr>
                <w:rFonts w:hint="default" w:ascii="Times New Roman" w:hAnsi="Times New Roman" w:eastAsia="宋体" w:cs="Times New Roman"/>
                <w:sz w:val="18"/>
                <w:szCs w:val="18"/>
                <w:lang w:val="en-US" w:eastAsia="zh-CN"/>
              </w:rPr>
              <w:t>8</w:t>
            </w:r>
          </w:p>
        </w:tc>
      </w:tr>
      <w:tr w14:paraId="63A23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2626" w:type="dxa"/>
            <w:tcBorders>
              <w:top w:val="single" w:color="000000" w:sz="4" w:space="0"/>
              <w:bottom w:val="single" w:color="000000" w:sz="4" w:space="0"/>
              <w:right w:val="single" w:color="000000" w:sz="4" w:space="0"/>
            </w:tcBorders>
            <w:shd w:val="clear" w:color="auto" w:fill="auto"/>
            <w:vAlign w:val="top"/>
          </w:tcPr>
          <w:p w14:paraId="3AE2E0C7">
            <w:pPr>
              <w:pStyle w:val="235"/>
              <w:spacing w:before="51" w:line="219" w:lineRule="exact"/>
              <w:ind w:left="27" w:leftChars="0"/>
              <w:jc w:val="center"/>
              <w:rPr>
                <w:rFonts w:hint="default" w:ascii="Times New Roman" w:hAnsi="Times New Roman" w:eastAsia="宋体" w:cs="Times New Roman"/>
                <w:kern w:val="2"/>
                <w:sz w:val="18"/>
                <w:szCs w:val="18"/>
                <w:lang w:val="en-US" w:eastAsia="en-US" w:bidi="en-US"/>
              </w:rPr>
            </w:pPr>
            <w:r>
              <w:rPr>
                <w:rFonts w:hint="default" w:ascii="Times New Roman" w:hAnsi="Times New Roman" w:eastAsia="宋体" w:cs="Times New Roman"/>
                <w:sz w:val="18"/>
                <w:szCs w:val="18"/>
                <w:lang w:val="en-US" w:eastAsia="zh-CN"/>
              </w:rPr>
              <w:t>2</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lang w:val="en-US" w:eastAsia="zh-CN"/>
              </w:rPr>
              <w:t>钴</w:t>
            </w:r>
            <w:r>
              <w:rPr>
                <w:rFonts w:hint="default" w:ascii="Times New Roman" w:hAnsi="Times New Roman" w:eastAsia="宋体" w:cs="Times New Roman"/>
                <w:sz w:val="18"/>
                <w:szCs w:val="18"/>
              </w:rPr>
              <w:t>总</w:t>
            </w:r>
            <w:r>
              <w:rPr>
                <w:rFonts w:hint="default" w:ascii="Times New Roman" w:hAnsi="Times New Roman" w:eastAsia="宋体" w:cs="Times New Roman"/>
                <w:sz w:val="18"/>
                <w:szCs w:val="18"/>
                <w:lang w:val="en-US" w:eastAsia="zh-CN"/>
              </w:rPr>
              <w:t>回收</w:t>
            </w:r>
            <w:r>
              <w:rPr>
                <w:rFonts w:hint="default" w:ascii="Times New Roman" w:hAnsi="Times New Roman" w:eastAsia="宋体" w:cs="Times New Roman"/>
                <w:sz w:val="18"/>
                <w:szCs w:val="18"/>
              </w:rPr>
              <w:t>率/%</w:t>
            </w:r>
          </w:p>
        </w:tc>
        <w:tc>
          <w:tcPr>
            <w:tcW w:w="2436" w:type="dxa"/>
            <w:tcBorders>
              <w:top w:val="single" w:color="000000" w:sz="4" w:space="0"/>
              <w:left w:val="single" w:color="000000" w:sz="4" w:space="0"/>
              <w:bottom w:val="single" w:color="000000" w:sz="4" w:space="0"/>
              <w:right w:val="single" w:color="000000" w:sz="4" w:space="0"/>
            </w:tcBorders>
            <w:shd w:val="clear" w:color="auto" w:fill="auto"/>
            <w:vAlign w:val="top"/>
          </w:tcPr>
          <w:p w14:paraId="1452E796">
            <w:pPr>
              <w:pStyle w:val="235"/>
              <w:spacing w:before="51" w:line="219" w:lineRule="exact"/>
              <w:ind w:left="802" w:leftChars="0" w:right="786" w:rightChars="0"/>
              <w:jc w:val="center"/>
              <w:rPr>
                <w:rFonts w:hint="default" w:ascii="Times New Roman" w:hAnsi="Times New Roman" w:eastAsia="宋体" w:cs="Times New Roman"/>
                <w:sz w:val="18"/>
                <w:szCs w:val="18"/>
                <w:lang w:val="en-US" w:eastAsia="en-US"/>
              </w:rPr>
            </w:pPr>
            <w:r>
              <w:rPr>
                <w:rFonts w:hint="default" w:ascii="Times New Roman" w:hAnsi="Times New Roman" w:eastAsia="宋体" w:cs="Times New Roman"/>
                <w:sz w:val="18"/>
                <w:szCs w:val="18"/>
              </w:rPr>
              <w:t>≥9</w:t>
            </w:r>
            <w:r>
              <w:rPr>
                <w:rFonts w:hint="default" w:ascii="Times New Roman" w:hAnsi="Times New Roman" w:eastAsia="宋体" w:cs="Times New Roman"/>
                <w:sz w:val="18"/>
                <w:szCs w:val="18"/>
                <w:lang w:val="en-US" w:eastAsia="zh-CN"/>
              </w:rPr>
              <w:t>8</w:t>
            </w:r>
          </w:p>
        </w:tc>
      </w:tr>
      <w:tr w14:paraId="3B704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2626" w:type="dxa"/>
            <w:tcBorders>
              <w:top w:val="single" w:color="000000" w:sz="4" w:space="0"/>
              <w:bottom w:val="single" w:color="000000" w:sz="4" w:space="0"/>
              <w:right w:val="single" w:color="000000" w:sz="4" w:space="0"/>
            </w:tcBorders>
            <w:shd w:val="clear" w:color="auto" w:fill="auto"/>
            <w:vAlign w:val="top"/>
          </w:tcPr>
          <w:p w14:paraId="3B18973A">
            <w:pPr>
              <w:pStyle w:val="235"/>
              <w:spacing w:before="51" w:line="219" w:lineRule="exact"/>
              <w:ind w:left="27" w:leftChars="0"/>
              <w:jc w:val="center"/>
              <w:rPr>
                <w:rFonts w:hint="default" w:ascii="Times New Roman" w:hAnsi="Times New Roman" w:eastAsia="宋体" w:cs="Times New Roman"/>
                <w:kern w:val="2"/>
                <w:sz w:val="18"/>
                <w:szCs w:val="18"/>
                <w:lang w:val="en-US" w:eastAsia="en-US" w:bidi="en-US"/>
              </w:rPr>
            </w:pPr>
            <w:r>
              <w:rPr>
                <w:rFonts w:hint="default" w:ascii="Times New Roman" w:hAnsi="Times New Roman" w:eastAsia="宋体" w:cs="Times New Roman"/>
                <w:sz w:val="18"/>
                <w:szCs w:val="18"/>
                <w:lang w:val="en-US" w:eastAsia="zh-CN"/>
              </w:rPr>
              <w:t>3</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lang w:val="en-US" w:eastAsia="zh-CN"/>
              </w:rPr>
              <w:t>锰</w:t>
            </w:r>
            <w:r>
              <w:rPr>
                <w:rFonts w:hint="default" w:ascii="Times New Roman" w:hAnsi="Times New Roman" w:eastAsia="宋体" w:cs="Times New Roman"/>
                <w:sz w:val="18"/>
                <w:szCs w:val="18"/>
              </w:rPr>
              <w:t>总</w:t>
            </w:r>
            <w:r>
              <w:rPr>
                <w:rFonts w:hint="default" w:ascii="Times New Roman" w:hAnsi="Times New Roman" w:eastAsia="宋体" w:cs="Times New Roman"/>
                <w:sz w:val="18"/>
                <w:szCs w:val="18"/>
                <w:lang w:val="en-US" w:eastAsia="zh-CN"/>
              </w:rPr>
              <w:t>回收</w:t>
            </w:r>
            <w:r>
              <w:rPr>
                <w:rFonts w:hint="default" w:ascii="Times New Roman" w:hAnsi="Times New Roman" w:eastAsia="宋体" w:cs="Times New Roman"/>
                <w:sz w:val="18"/>
                <w:szCs w:val="18"/>
              </w:rPr>
              <w:t>率/%</w:t>
            </w:r>
          </w:p>
        </w:tc>
        <w:tc>
          <w:tcPr>
            <w:tcW w:w="2436" w:type="dxa"/>
            <w:tcBorders>
              <w:top w:val="single" w:color="000000" w:sz="4" w:space="0"/>
              <w:left w:val="single" w:color="000000" w:sz="4" w:space="0"/>
              <w:bottom w:val="single" w:color="000000" w:sz="4" w:space="0"/>
              <w:right w:val="single" w:color="000000" w:sz="4" w:space="0"/>
            </w:tcBorders>
            <w:shd w:val="clear" w:color="auto" w:fill="auto"/>
            <w:vAlign w:val="top"/>
          </w:tcPr>
          <w:p w14:paraId="0AAB2419">
            <w:pPr>
              <w:pStyle w:val="235"/>
              <w:spacing w:before="51" w:line="219" w:lineRule="exact"/>
              <w:ind w:left="802" w:leftChars="0" w:right="786" w:rightChars="0"/>
              <w:jc w:val="center"/>
              <w:rPr>
                <w:rFonts w:hint="default" w:ascii="Times New Roman" w:hAnsi="Times New Roman" w:eastAsia="宋体" w:cs="Times New Roman"/>
                <w:sz w:val="18"/>
                <w:szCs w:val="18"/>
                <w:lang w:val="en-US" w:eastAsia="en-US"/>
              </w:rPr>
            </w:pPr>
            <w:r>
              <w:rPr>
                <w:rFonts w:hint="default" w:ascii="Times New Roman" w:hAnsi="Times New Roman" w:eastAsia="宋体" w:cs="Times New Roman"/>
                <w:sz w:val="18"/>
                <w:szCs w:val="18"/>
              </w:rPr>
              <w:t>≥9</w:t>
            </w:r>
            <w:r>
              <w:rPr>
                <w:rFonts w:hint="default" w:ascii="Times New Roman" w:hAnsi="Times New Roman" w:eastAsia="宋体" w:cs="Times New Roman"/>
                <w:sz w:val="18"/>
                <w:szCs w:val="18"/>
                <w:lang w:val="en-US" w:eastAsia="zh-CN"/>
              </w:rPr>
              <w:t>8</w:t>
            </w:r>
          </w:p>
        </w:tc>
      </w:tr>
      <w:tr w14:paraId="04001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2626" w:type="dxa"/>
            <w:tcBorders>
              <w:top w:val="single" w:color="000000" w:sz="4" w:space="0"/>
              <w:bottom w:val="single" w:color="000000" w:sz="4" w:space="0"/>
              <w:right w:val="single" w:color="000000" w:sz="4" w:space="0"/>
            </w:tcBorders>
            <w:shd w:val="clear" w:color="auto" w:fill="auto"/>
            <w:vAlign w:val="top"/>
          </w:tcPr>
          <w:p w14:paraId="3BBDFDA1">
            <w:pPr>
              <w:pStyle w:val="235"/>
              <w:spacing w:before="51" w:line="219" w:lineRule="exact"/>
              <w:ind w:left="27" w:leftChars="0"/>
              <w:jc w:val="center"/>
              <w:rPr>
                <w:rFonts w:hint="default" w:ascii="Times New Roman" w:hAnsi="Times New Roman" w:eastAsia="宋体" w:cs="Times New Roman"/>
                <w:kern w:val="2"/>
                <w:sz w:val="18"/>
                <w:szCs w:val="18"/>
                <w:lang w:val="en-US" w:eastAsia="en-US" w:bidi="en-US"/>
              </w:rPr>
            </w:pPr>
            <w:r>
              <w:rPr>
                <w:rFonts w:hint="default" w:ascii="Times New Roman" w:hAnsi="Times New Roman" w:eastAsia="宋体" w:cs="Times New Roman"/>
                <w:sz w:val="18"/>
                <w:szCs w:val="18"/>
                <w:lang w:val="en-US" w:eastAsia="zh-CN"/>
              </w:rPr>
              <w:t>4</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lang w:val="en-US" w:eastAsia="zh-CN"/>
              </w:rPr>
              <w:t>锂</w:t>
            </w:r>
            <w:r>
              <w:rPr>
                <w:rFonts w:hint="default" w:ascii="Times New Roman" w:hAnsi="Times New Roman" w:eastAsia="宋体" w:cs="Times New Roman"/>
                <w:sz w:val="18"/>
                <w:szCs w:val="18"/>
              </w:rPr>
              <w:t>总</w:t>
            </w:r>
            <w:r>
              <w:rPr>
                <w:rFonts w:hint="default" w:ascii="Times New Roman" w:hAnsi="Times New Roman" w:eastAsia="宋体" w:cs="Times New Roman"/>
                <w:sz w:val="18"/>
                <w:szCs w:val="18"/>
                <w:lang w:val="en-US" w:eastAsia="zh-CN"/>
              </w:rPr>
              <w:t>回收</w:t>
            </w:r>
            <w:r>
              <w:rPr>
                <w:rFonts w:hint="default" w:ascii="Times New Roman" w:hAnsi="Times New Roman" w:eastAsia="宋体" w:cs="Times New Roman"/>
                <w:sz w:val="18"/>
                <w:szCs w:val="18"/>
              </w:rPr>
              <w:t>率/%</w:t>
            </w:r>
          </w:p>
        </w:tc>
        <w:tc>
          <w:tcPr>
            <w:tcW w:w="2436" w:type="dxa"/>
            <w:tcBorders>
              <w:top w:val="single" w:color="000000" w:sz="4" w:space="0"/>
              <w:left w:val="single" w:color="000000" w:sz="4" w:space="0"/>
              <w:bottom w:val="single" w:color="000000" w:sz="4" w:space="0"/>
              <w:right w:val="single" w:color="000000" w:sz="4" w:space="0"/>
            </w:tcBorders>
            <w:shd w:val="clear" w:color="auto" w:fill="auto"/>
            <w:vAlign w:val="top"/>
          </w:tcPr>
          <w:p w14:paraId="22DAA3DD">
            <w:pPr>
              <w:pStyle w:val="235"/>
              <w:spacing w:before="51" w:line="219" w:lineRule="exact"/>
              <w:ind w:left="802" w:leftChars="0" w:right="786" w:rightChars="0"/>
              <w:jc w:val="center"/>
              <w:rPr>
                <w:rFonts w:hint="default" w:ascii="Times New Roman" w:hAnsi="Times New Roman" w:eastAsia="宋体" w:cs="Times New Roman"/>
                <w:kern w:val="2"/>
                <w:sz w:val="18"/>
                <w:szCs w:val="18"/>
                <w:lang w:val="en-US" w:eastAsia="en-US" w:bidi="en-US"/>
              </w:rPr>
            </w:pPr>
            <w:r>
              <w:rPr>
                <w:rFonts w:hint="default" w:ascii="Times New Roman" w:hAnsi="Times New Roman" w:eastAsia="宋体" w:cs="Times New Roman"/>
                <w:sz w:val="18"/>
                <w:szCs w:val="18"/>
              </w:rPr>
              <w:t>≥9</w:t>
            </w:r>
            <w:r>
              <w:rPr>
                <w:rFonts w:hint="default" w:ascii="Times New Roman" w:hAnsi="Times New Roman" w:eastAsia="宋体" w:cs="Times New Roman"/>
                <w:sz w:val="18"/>
                <w:szCs w:val="18"/>
                <w:lang w:val="en-US" w:eastAsia="zh-CN"/>
              </w:rPr>
              <w:t>0</w:t>
            </w:r>
          </w:p>
        </w:tc>
      </w:tr>
      <w:tr w14:paraId="5410F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4" w:hRule="atLeast"/>
          <w:jc w:val="center"/>
        </w:trPr>
        <w:tc>
          <w:tcPr>
            <w:tcW w:w="2626" w:type="dxa"/>
            <w:tcBorders>
              <w:top w:val="single" w:color="000000" w:sz="4" w:space="0"/>
              <w:bottom w:val="single" w:color="000000" w:sz="4" w:space="0"/>
              <w:right w:val="single" w:color="000000" w:sz="4" w:space="0"/>
            </w:tcBorders>
            <w:shd w:val="clear" w:color="auto" w:fill="auto"/>
            <w:vAlign w:val="top"/>
          </w:tcPr>
          <w:p w14:paraId="55E3ED56">
            <w:pPr>
              <w:pStyle w:val="235"/>
              <w:spacing w:before="51" w:line="219" w:lineRule="exact"/>
              <w:ind w:left="27" w:leftChars="0"/>
              <w:jc w:val="center"/>
              <w:rPr>
                <w:rFonts w:hint="default" w:ascii="Times New Roman" w:hAnsi="Times New Roman" w:eastAsia="宋体" w:cs="Times New Roman"/>
                <w:kern w:val="2"/>
                <w:sz w:val="18"/>
                <w:szCs w:val="18"/>
                <w:lang w:val="en-US" w:eastAsia="en-US" w:bidi="en-US"/>
              </w:rPr>
            </w:pPr>
            <w:r>
              <w:rPr>
                <w:rFonts w:hint="default" w:ascii="Times New Roman" w:hAnsi="Times New Roman" w:eastAsia="宋体" w:cs="Times New Roman"/>
                <w:sz w:val="18"/>
                <w:szCs w:val="18"/>
                <w:lang w:val="en-US" w:eastAsia="zh-CN"/>
              </w:rPr>
              <w:t>5</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lang w:val="en-US" w:eastAsia="zh-CN"/>
              </w:rPr>
              <w:t>铁</w:t>
            </w:r>
            <w:r>
              <w:rPr>
                <w:rFonts w:hint="default" w:ascii="Times New Roman" w:hAnsi="Times New Roman" w:eastAsia="宋体" w:cs="Times New Roman"/>
                <w:sz w:val="18"/>
                <w:szCs w:val="18"/>
              </w:rPr>
              <w:t>总</w:t>
            </w:r>
            <w:r>
              <w:rPr>
                <w:rFonts w:hint="default" w:ascii="Times New Roman" w:hAnsi="Times New Roman" w:eastAsia="宋体" w:cs="Times New Roman"/>
                <w:sz w:val="18"/>
                <w:szCs w:val="18"/>
                <w:lang w:val="en-US" w:eastAsia="zh-CN"/>
              </w:rPr>
              <w:t>回收</w:t>
            </w:r>
            <w:r>
              <w:rPr>
                <w:rFonts w:hint="default" w:ascii="Times New Roman" w:hAnsi="Times New Roman" w:eastAsia="宋体" w:cs="Times New Roman"/>
                <w:sz w:val="18"/>
                <w:szCs w:val="18"/>
              </w:rPr>
              <w:t>率/%</w:t>
            </w:r>
          </w:p>
        </w:tc>
        <w:tc>
          <w:tcPr>
            <w:tcW w:w="2436" w:type="dxa"/>
            <w:tcBorders>
              <w:top w:val="single" w:color="000000" w:sz="4" w:space="0"/>
              <w:left w:val="single" w:color="000000" w:sz="4" w:space="0"/>
              <w:bottom w:val="single" w:color="000000" w:sz="4" w:space="0"/>
              <w:right w:val="single" w:color="000000" w:sz="4" w:space="0"/>
            </w:tcBorders>
            <w:shd w:val="clear" w:color="auto" w:fill="auto"/>
            <w:vAlign w:val="top"/>
          </w:tcPr>
          <w:p w14:paraId="5E9C1861">
            <w:pPr>
              <w:pStyle w:val="235"/>
              <w:spacing w:before="51" w:line="219" w:lineRule="exact"/>
              <w:ind w:left="802" w:leftChars="0" w:right="786" w:rightChars="0"/>
              <w:jc w:val="center"/>
              <w:rPr>
                <w:rFonts w:hint="default" w:ascii="Times New Roman" w:hAnsi="Times New Roman" w:eastAsia="宋体" w:cs="Times New Roman"/>
                <w:kern w:val="2"/>
                <w:sz w:val="18"/>
                <w:szCs w:val="18"/>
                <w:lang w:val="en-US" w:eastAsia="zh-CN" w:bidi="en-US"/>
              </w:rPr>
            </w:pPr>
            <w:r>
              <w:rPr>
                <w:rFonts w:hint="default" w:ascii="Times New Roman" w:hAnsi="Times New Roman" w:eastAsia="宋体" w:cs="Times New Roman"/>
                <w:sz w:val="18"/>
                <w:szCs w:val="18"/>
              </w:rPr>
              <w:t>≥</w:t>
            </w:r>
            <w:r>
              <w:rPr>
                <w:rFonts w:hint="default" w:ascii="Times New Roman" w:hAnsi="Times New Roman" w:cs="Times New Roman"/>
                <w:sz w:val="18"/>
                <w:szCs w:val="18"/>
                <w:lang w:val="en-US" w:eastAsia="zh-CN"/>
              </w:rPr>
              <w:t>85</w:t>
            </w:r>
          </w:p>
        </w:tc>
      </w:tr>
      <w:tr w14:paraId="3FCB7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0" w:hRule="atLeast"/>
          <w:jc w:val="center"/>
        </w:trPr>
        <w:tc>
          <w:tcPr>
            <w:tcW w:w="2626" w:type="dxa"/>
            <w:tcBorders>
              <w:top w:val="single" w:color="000000" w:sz="4" w:space="0"/>
              <w:bottom w:val="single" w:color="000000" w:sz="4" w:space="0"/>
              <w:right w:val="single" w:color="000000" w:sz="4" w:space="0"/>
            </w:tcBorders>
            <w:shd w:val="clear" w:color="auto" w:fill="auto"/>
            <w:vAlign w:val="top"/>
          </w:tcPr>
          <w:p w14:paraId="01A9E992">
            <w:pPr>
              <w:pStyle w:val="235"/>
              <w:spacing w:before="51" w:line="219" w:lineRule="exact"/>
              <w:ind w:left="27" w:leftChars="0"/>
              <w:jc w:val="center"/>
              <w:rPr>
                <w:rFonts w:hint="default" w:ascii="Times New Roman" w:hAnsi="Times New Roman" w:eastAsia="宋体" w:cs="Times New Roman"/>
                <w:kern w:val="2"/>
                <w:sz w:val="18"/>
                <w:szCs w:val="18"/>
                <w:lang w:val="en-US" w:eastAsia="en-US" w:bidi="en-US"/>
              </w:rPr>
            </w:pPr>
            <w:r>
              <w:rPr>
                <w:rFonts w:hint="default" w:ascii="Times New Roman" w:hAnsi="Times New Roman" w:eastAsia="宋体" w:cs="Times New Roman"/>
                <w:sz w:val="18"/>
                <w:szCs w:val="18"/>
                <w:lang w:val="en-US" w:eastAsia="zh-CN"/>
              </w:rPr>
              <w:t>6</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lang w:val="en-US" w:eastAsia="zh-CN"/>
              </w:rPr>
              <w:t>磷</w:t>
            </w:r>
            <w:r>
              <w:rPr>
                <w:rFonts w:hint="default" w:ascii="Times New Roman" w:hAnsi="Times New Roman" w:eastAsia="宋体" w:cs="Times New Roman"/>
                <w:sz w:val="18"/>
                <w:szCs w:val="18"/>
              </w:rPr>
              <w:t>总</w:t>
            </w:r>
            <w:r>
              <w:rPr>
                <w:rFonts w:hint="default" w:ascii="Times New Roman" w:hAnsi="Times New Roman" w:eastAsia="宋体" w:cs="Times New Roman"/>
                <w:sz w:val="18"/>
                <w:szCs w:val="18"/>
                <w:lang w:val="en-US" w:eastAsia="zh-CN"/>
              </w:rPr>
              <w:t>回收</w:t>
            </w:r>
            <w:r>
              <w:rPr>
                <w:rFonts w:hint="default" w:ascii="Times New Roman" w:hAnsi="Times New Roman" w:eastAsia="宋体" w:cs="Times New Roman"/>
                <w:sz w:val="18"/>
                <w:szCs w:val="18"/>
              </w:rPr>
              <w:t>率/%</w:t>
            </w:r>
          </w:p>
        </w:tc>
        <w:tc>
          <w:tcPr>
            <w:tcW w:w="2436" w:type="dxa"/>
            <w:tcBorders>
              <w:top w:val="single" w:color="000000" w:sz="4" w:space="0"/>
              <w:left w:val="single" w:color="000000" w:sz="4" w:space="0"/>
              <w:bottom w:val="single" w:color="000000" w:sz="4" w:space="0"/>
              <w:right w:val="single" w:color="000000" w:sz="4" w:space="0"/>
            </w:tcBorders>
            <w:shd w:val="clear" w:color="auto" w:fill="auto"/>
            <w:vAlign w:val="top"/>
          </w:tcPr>
          <w:p w14:paraId="5334A7B0">
            <w:pPr>
              <w:pStyle w:val="235"/>
              <w:spacing w:before="51" w:line="219" w:lineRule="exact"/>
              <w:ind w:left="802" w:leftChars="0" w:right="786" w:rightChars="0"/>
              <w:jc w:val="center"/>
              <w:rPr>
                <w:rFonts w:hint="default" w:ascii="Times New Roman" w:hAnsi="Times New Roman" w:eastAsia="宋体" w:cs="Times New Roman"/>
                <w:kern w:val="2"/>
                <w:sz w:val="18"/>
                <w:szCs w:val="18"/>
                <w:lang w:val="en-US" w:eastAsia="zh-CN" w:bidi="en-US"/>
              </w:rPr>
            </w:pPr>
            <w:r>
              <w:rPr>
                <w:rFonts w:hint="default" w:ascii="Times New Roman" w:hAnsi="Times New Roman" w:eastAsia="宋体" w:cs="Times New Roman"/>
                <w:sz w:val="18"/>
                <w:szCs w:val="18"/>
              </w:rPr>
              <w:t>≥</w:t>
            </w:r>
            <w:r>
              <w:rPr>
                <w:rFonts w:hint="default" w:ascii="Times New Roman" w:hAnsi="Times New Roman" w:cs="Times New Roman"/>
                <w:sz w:val="18"/>
                <w:szCs w:val="18"/>
                <w:lang w:val="en-US" w:eastAsia="zh-CN"/>
              </w:rPr>
              <w:t>85</w:t>
            </w:r>
          </w:p>
        </w:tc>
      </w:tr>
      <w:tr w14:paraId="2E953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2626" w:type="dxa"/>
            <w:tcBorders>
              <w:top w:val="single" w:color="000000" w:sz="4" w:space="0"/>
              <w:bottom w:val="single" w:color="auto" w:sz="4" w:space="0"/>
              <w:right w:val="single" w:color="000000" w:sz="4" w:space="0"/>
            </w:tcBorders>
            <w:vAlign w:val="top"/>
          </w:tcPr>
          <w:p w14:paraId="4ECC2144">
            <w:pPr>
              <w:pStyle w:val="235"/>
              <w:spacing w:before="51" w:line="219" w:lineRule="exact"/>
              <w:ind w:left="27"/>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pacing w:val="-23"/>
                <w:sz w:val="18"/>
                <w:szCs w:val="18"/>
                <w:lang w:val="en-US" w:eastAsia="zh-CN"/>
              </w:rPr>
              <w:t>三 、</w:t>
            </w:r>
            <w:r>
              <w:rPr>
                <w:rFonts w:hint="default" w:ascii="Times New Roman" w:hAnsi="Times New Roman" w:eastAsia="宋体" w:cs="Times New Roman"/>
                <w:spacing w:val="-11"/>
                <w:sz w:val="18"/>
                <w:szCs w:val="18"/>
              </w:rPr>
              <w:t>综合能耗</w:t>
            </w:r>
            <w:r>
              <w:rPr>
                <w:rFonts w:hint="default" w:ascii="Times New Roman" w:hAnsi="Times New Roman" w:eastAsia="宋体" w:cs="Times New Roman"/>
                <w:spacing w:val="-11"/>
                <w:sz w:val="18"/>
                <w:szCs w:val="18"/>
                <w:lang w:val="en-US" w:eastAsia="zh-CN"/>
              </w:rPr>
              <w:t>指标</w:t>
            </w:r>
          </w:p>
        </w:tc>
        <w:tc>
          <w:tcPr>
            <w:tcW w:w="2436" w:type="dxa"/>
            <w:vMerge w:val="restart"/>
            <w:tcBorders>
              <w:top w:val="single" w:color="000000" w:sz="4" w:space="0"/>
              <w:left w:val="single" w:color="000000" w:sz="4" w:space="0"/>
              <w:right w:val="single" w:color="000000" w:sz="4" w:space="0"/>
            </w:tcBorders>
            <w:vAlign w:val="center"/>
          </w:tcPr>
          <w:p w14:paraId="3288BA20">
            <w:pPr>
              <w:pStyle w:val="235"/>
              <w:keepNext w:val="0"/>
              <w:keepLines w:val="0"/>
              <w:pageBreakBefore w:val="0"/>
              <w:widowControl w:val="0"/>
              <w:kinsoku/>
              <w:wordWrap/>
              <w:overflowPunct/>
              <w:topLinePunct w:val="0"/>
              <w:autoSpaceDE/>
              <w:autoSpaceDN/>
              <w:bidi w:val="0"/>
              <w:adjustRightInd/>
              <w:snapToGrid/>
              <w:spacing w:before="51" w:line="219" w:lineRule="exact"/>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符合DB43/T 1988</w:t>
            </w:r>
          </w:p>
        </w:tc>
      </w:tr>
      <w:tr w14:paraId="6D910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2626" w:type="dxa"/>
            <w:tcBorders>
              <w:top w:val="single" w:color="000000" w:sz="4" w:space="0"/>
              <w:bottom w:val="single" w:color="000000" w:sz="4" w:space="0"/>
              <w:right w:val="single" w:color="000000" w:sz="4" w:space="0"/>
            </w:tcBorders>
            <w:vAlign w:val="top"/>
          </w:tcPr>
          <w:p w14:paraId="233502CF">
            <w:pPr>
              <w:pStyle w:val="235"/>
              <w:spacing w:before="51" w:line="219" w:lineRule="exact"/>
              <w:ind w:left="27"/>
              <w:jc w:val="left"/>
              <w:rPr>
                <w:rFonts w:hint="default" w:ascii="Times New Roman" w:hAnsi="Times New Roman" w:eastAsia="宋体" w:cs="Times New Roman"/>
                <w:sz w:val="18"/>
                <w:szCs w:val="18"/>
                <w:lang w:val="en-US"/>
              </w:rPr>
            </w:pPr>
            <w:r>
              <w:rPr>
                <w:rFonts w:hint="default" w:ascii="Times New Roman" w:hAnsi="Times New Roman" w:eastAsia="宋体" w:cs="Times New Roman"/>
                <w:spacing w:val="-11"/>
                <w:sz w:val="18"/>
                <w:szCs w:val="18"/>
                <w:lang w:val="en-US" w:eastAsia="zh-CN"/>
              </w:rPr>
              <w:t>四、综合电耗指标</w:t>
            </w:r>
          </w:p>
        </w:tc>
        <w:tc>
          <w:tcPr>
            <w:tcW w:w="2436" w:type="dxa"/>
            <w:vMerge w:val="continue"/>
            <w:tcBorders>
              <w:left w:val="single" w:color="000000" w:sz="4" w:space="0"/>
              <w:bottom w:val="single" w:color="000000" w:sz="4" w:space="0"/>
              <w:right w:val="single" w:color="000000" w:sz="4" w:space="0"/>
            </w:tcBorders>
            <w:vAlign w:val="top"/>
          </w:tcPr>
          <w:p w14:paraId="59DF5EE2">
            <w:pPr>
              <w:pStyle w:val="235"/>
              <w:spacing w:before="51" w:line="219" w:lineRule="exact"/>
              <w:ind w:left="802" w:right="786"/>
              <w:jc w:val="center"/>
              <w:rPr>
                <w:rFonts w:hint="default" w:ascii="Times New Roman" w:hAnsi="Times New Roman" w:eastAsia="宋体" w:cs="Times New Roman"/>
                <w:sz w:val="18"/>
                <w:szCs w:val="18"/>
              </w:rPr>
            </w:pPr>
          </w:p>
        </w:tc>
      </w:tr>
    </w:tbl>
    <w:p w14:paraId="7CC7DA6D">
      <w:pPr>
        <w:pStyle w:val="56"/>
        <w:ind w:left="0" w:leftChars="0" w:firstLine="0" w:firstLineChars="0"/>
        <w:rPr>
          <w:rFonts w:hint="default" w:ascii="Times New Roman" w:hAnsi="Times New Roman" w:cs="Times New Roman"/>
        </w:rPr>
      </w:pPr>
    </w:p>
    <w:p w14:paraId="69D6F10D">
      <w:pPr>
        <w:pStyle w:val="56"/>
        <w:ind w:left="0" w:leftChars="0" w:firstLine="0" w:firstLineChars="0"/>
        <w:rPr>
          <w:rFonts w:hint="eastAsia"/>
        </w:rPr>
      </w:pPr>
    </w:p>
    <w:p w14:paraId="6093975D">
      <w:pPr>
        <w:pStyle w:val="56"/>
        <w:ind w:left="0" w:leftChars="0" w:firstLine="0" w:firstLineChars="0"/>
        <w:rPr>
          <w:rFonts w:hint="eastAsia"/>
        </w:rPr>
      </w:pPr>
    </w:p>
    <w:p w14:paraId="0DA101DC">
      <w:pPr>
        <w:pStyle w:val="56"/>
        <w:ind w:left="0" w:leftChars="0" w:firstLine="0" w:firstLineChars="0"/>
        <w:rPr>
          <w:rFonts w:hint="eastAsia"/>
        </w:rPr>
      </w:pPr>
    </w:p>
    <w:p w14:paraId="794E9C99">
      <w:pPr>
        <w:pStyle w:val="56"/>
        <w:ind w:left="0" w:leftChars="0" w:firstLine="0" w:firstLineChars="0"/>
        <w:rPr>
          <w:rFonts w:hint="eastAsia"/>
        </w:rPr>
      </w:pPr>
    </w:p>
    <w:p w14:paraId="43FBE7FB">
      <w:pPr>
        <w:pStyle w:val="56"/>
        <w:ind w:left="0" w:leftChars="0" w:firstLine="0" w:firstLineChars="0"/>
        <w:rPr>
          <w:rFonts w:hint="eastAsia"/>
        </w:rPr>
      </w:pPr>
    </w:p>
    <w:p w14:paraId="1BEB4FEF">
      <w:pPr>
        <w:pStyle w:val="56"/>
        <w:ind w:left="0" w:leftChars="0" w:firstLine="0" w:firstLineChars="0"/>
        <w:rPr>
          <w:rFonts w:hint="eastAsia"/>
        </w:rPr>
      </w:pPr>
    </w:p>
    <w:p w14:paraId="5B5EA209">
      <w:pPr>
        <w:pStyle w:val="56"/>
        <w:ind w:left="0" w:leftChars="0" w:firstLine="0" w:firstLineChars="0"/>
        <w:rPr>
          <w:rFonts w:hint="eastAsia"/>
        </w:rPr>
      </w:pPr>
    </w:p>
    <w:p w14:paraId="3C4EC25E">
      <w:pPr>
        <w:pStyle w:val="56"/>
        <w:ind w:left="0" w:leftChars="0" w:firstLine="0" w:firstLineChars="0"/>
        <w:rPr>
          <w:rFonts w:hint="eastAsia"/>
        </w:rPr>
      </w:pPr>
    </w:p>
    <w:p w14:paraId="492683CA">
      <w:pPr>
        <w:pStyle w:val="56"/>
        <w:ind w:left="0" w:leftChars="0" w:firstLine="0" w:firstLineChars="0"/>
        <w:rPr>
          <w:rFonts w:hint="eastAsia"/>
        </w:rPr>
      </w:pPr>
    </w:p>
    <w:p w14:paraId="5FCD980F">
      <w:pPr>
        <w:pStyle w:val="56"/>
        <w:ind w:left="0" w:leftChars="0" w:firstLine="0" w:firstLineChars="0"/>
        <w:rPr>
          <w:rFonts w:hint="eastAsia"/>
        </w:rPr>
      </w:pPr>
    </w:p>
    <w:p w14:paraId="0BB401CB">
      <w:pPr>
        <w:pStyle w:val="56"/>
        <w:ind w:left="0" w:leftChars="0" w:firstLine="0" w:firstLineChars="0"/>
        <w:rPr>
          <w:rFonts w:hint="eastAsia"/>
        </w:rPr>
      </w:pPr>
    </w:p>
    <w:p w14:paraId="62AC18C0">
      <w:pPr>
        <w:pStyle w:val="76"/>
        <w:spacing w:after="156"/>
      </w:pPr>
      <w:bookmarkStart w:id="64" w:name="_Toc20052"/>
      <w:r>
        <w:br w:type="textWrapping"/>
      </w:r>
      <w:bookmarkStart w:id="65" w:name="_Toc132882484"/>
      <w:r>
        <w:rPr>
          <w:rFonts w:hint="eastAsia"/>
        </w:rPr>
        <w:t>（</w:t>
      </w:r>
      <w:r>
        <w:rPr>
          <w:rFonts w:hint="eastAsia"/>
          <w:lang w:val="en-US" w:eastAsia="zh-CN"/>
        </w:rPr>
        <w:t>资料</w:t>
      </w:r>
      <w:r>
        <w:rPr>
          <w:rFonts w:hint="eastAsia"/>
        </w:rPr>
        <w:t>性）</w:t>
      </w:r>
      <w:r>
        <w:br w:type="textWrapping"/>
      </w:r>
      <w:bookmarkEnd w:id="65"/>
      <w:r>
        <w:rPr>
          <w:rFonts w:hint="eastAsia"/>
        </w:rPr>
        <w:t>企业从事清洁生产相关人员培训内容</w:t>
      </w:r>
      <w:bookmarkEnd w:id="64"/>
    </w:p>
    <w:p w14:paraId="0CA36D33">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jc w:val="center"/>
        <w:textAlignment w:val="auto"/>
        <w:rPr>
          <w:rFonts w:hint="eastAsia" w:ascii="黑体" w:hAnsi="黑体" w:eastAsia="黑体" w:cs="黑体"/>
        </w:rPr>
      </w:pPr>
      <w:r>
        <w:rPr>
          <w:rFonts w:hint="eastAsia" w:ascii="黑体" w:hAnsi="黑体" w:eastAsia="黑体" w:cs="黑体"/>
          <w:lang w:val="en-US" w:eastAsia="zh-CN"/>
        </w:rPr>
        <w:t xml:space="preserve">表D.1 </w:t>
      </w:r>
      <w:r>
        <w:rPr>
          <w:rFonts w:hint="eastAsia" w:ascii="黑体" w:hAnsi="黑体" w:eastAsia="黑体" w:cs="黑体"/>
        </w:rPr>
        <w:t>企业从事清洁生产相关人员培训内容</w:t>
      </w:r>
    </w:p>
    <w:tbl>
      <w:tblPr>
        <w:tblStyle w:val="2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4"/>
        <w:gridCol w:w="8870"/>
      </w:tblGrid>
      <w:tr w14:paraId="34758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03361B2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序号</w:t>
            </w:r>
          </w:p>
        </w:tc>
        <w:tc>
          <w:tcPr>
            <w:tcW w:w="4636" w:type="pct"/>
            <w:tcBorders>
              <w:top w:val="single" w:color="auto" w:sz="4" w:space="0"/>
              <w:left w:val="single" w:color="auto" w:sz="4" w:space="0"/>
              <w:bottom w:val="single" w:color="auto" w:sz="4" w:space="0"/>
              <w:right w:val="single" w:color="auto" w:sz="4" w:space="0"/>
            </w:tcBorders>
            <w:shd w:val="clear" w:color="auto" w:fill="auto"/>
            <w:vAlign w:val="center"/>
          </w:tcPr>
          <w:p w14:paraId="15D133F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内</w:t>
            </w:r>
            <w:r>
              <w:rPr>
                <w:rFonts w:hint="default" w:ascii="Times New Roman" w:hAnsi="Times New Roman" w:cs="Times New Roman"/>
                <w:i w:val="0"/>
                <w:iCs w:val="0"/>
                <w:color w:val="000000"/>
                <w:kern w:val="0"/>
                <w:sz w:val="18"/>
                <w:szCs w:val="18"/>
                <w:u w:val="none"/>
                <w:lang w:val="en-US" w:eastAsia="zh-CN" w:bidi="ar"/>
              </w:rPr>
              <w:t xml:space="preserve"> </w:t>
            </w:r>
            <w:r>
              <w:rPr>
                <w:rFonts w:hint="default" w:ascii="Times New Roman" w:hAnsi="Times New Roman" w:eastAsia="宋体" w:cs="Times New Roman"/>
                <w:i w:val="0"/>
                <w:iCs w:val="0"/>
                <w:color w:val="000000"/>
                <w:kern w:val="0"/>
                <w:sz w:val="18"/>
                <w:szCs w:val="18"/>
                <w:u w:val="none"/>
                <w:lang w:val="en-US" w:eastAsia="zh-CN" w:bidi="ar"/>
              </w:rPr>
              <w:t>容</w:t>
            </w:r>
          </w:p>
        </w:tc>
      </w:tr>
      <w:tr w14:paraId="0734D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363" w:type="pct"/>
            <w:tcBorders>
              <w:top w:val="single" w:color="auto" w:sz="4" w:space="0"/>
              <w:left w:val="single" w:color="000000" w:sz="4" w:space="0"/>
              <w:bottom w:val="single" w:color="000000" w:sz="4" w:space="0"/>
              <w:right w:val="single" w:color="000000" w:sz="4" w:space="0"/>
            </w:tcBorders>
            <w:shd w:val="clear" w:color="auto" w:fill="auto"/>
            <w:vAlign w:val="center"/>
          </w:tcPr>
          <w:p w14:paraId="3FCF59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4636" w:type="pct"/>
            <w:tcBorders>
              <w:top w:val="single" w:color="auto" w:sz="4" w:space="0"/>
              <w:left w:val="single" w:color="000000" w:sz="4" w:space="0"/>
              <w:bottom w:val="single" w:color="000000" w:sz="4" w:space="0"/>
              <w:right w:val="single" w:color="000000" w:sz="4" w:space="0"/>
            </w:tcBorders>
            <w:shd w:val="clear" w:color="auto" w:fill="auto"/>
            <w:vAlign w:val="center"/>
          </w:tcPr>
          <w:p w14:paraId="498E3C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eastAsia="zh-CN"/>
              </w:rPr>
            </w:pPr>
            <w:r>
              <w:rPr>
                <w:rFonts w:hint="default" w:ascii="Times New Roman" w:hAnsi="Times New Roman" w:eastAsia="宋体" w:cs="Times New Roman"/>
                <w:i w:val="0"/>
                <w:iCs w:val="0"/>
                <w:caps w:val="0"/>
                <w:color w:val="333333"/>
                <w:spacing w:val="0"/>
                <w:sz w:val="18"/>
                <w:szCs w:val="18"/>
                <w:shd w:val="clear" w:fill="FFFFFF"/>
              </w:rPr>
              <w:t>《中华人民共和国环境保护法》</w:t>
            </w:r>
            <w:r>
              <w:rPr>
                <w:rFonts w:hint="default" w:ascii="Times New Roman" w:hAnsi="Times New Roman" w:eastAsia="宋体" w:cs="Times New Roman"/>
                <w:i w:val="0"/>
                <w:iCs w:val="0"/>
                <w:caps w:val="0"/>
                <w:color w:val="333333"/>
                <w:spacing w:val="0"/>
                <w:sz w:val="18"/>
                <w:szCs w:val="18"/>
                <w:shd w:val="clear" w:fill="FFFFFF"/>
                <w:lang w:eastAsia="zh-CN"/>
              </w:rPr>
              <w:t>、</w:t>
            </w:r>
            <w:r>
              <w:rPr>
                <w:rFonts w:hint="default" w:ascii="Times New Roman" w:hAnsi="Times New Roman" w:eastAsia="宋体" w:cs="Times New Roman"/>
                <w:i w:val="0"/>
                <w:iCs w:val="0"/>
                <w:caps w:val="0"/>
                <w:color w:val="333333"/>
                <w:spacing w:val="0"/>
                <w:sz w:val="18"/>
                <w:szCs w:val="18"/>
                <w:shd w:val="clear" w:fill="FFFFFF"/>
              </w:rPr>
              <w:t>《中华人民共和国水污染防治法》</w:t>
            </w:r>
            <w:r>
              <w:rPr>
                <w:rFonts w:hint="default" w:ascii="Times New Roman" w:hAnsi="Times New Roman" w:eastAsia="宋体" w:cs="Times New Roman"/>
                <w:i w:val="0"/>
                <w:iCs w:val="0"/>
                <w:caps w:val="0"/>
                <w:color w:val="333333"/>
                <w:spacing w:val="0"/>
                <w:sz w:val="18"/>
                <w:szCs w:val="18"/>
                <w:shd w:val="clear" w:fill="FFFFFF"/>
                <w:lang w:eastAsia="zh-CN"/>
              </w:rPr>
              <w:t>、</w:t>
            </w:r>
            <w:r>
              <w:rPr>
                <w:rFonts w:hint="default" w:ascii="Times New Roman" w:hAnsi="Times New Roman" w:eastAsia="宋体" w:cs="Times New Roman"/>
                <w:i w:val="0"/>
                <w:iCs w:val="0"/>
                <w:caps w:val="0"/>
                <w:color w:val="333333"/>
                <w:spacing w:val="0"/>
                <w:sz w:val="18"/>
                <w:szCs w:val="18"/>
                <w:shd w:val="clear" w:fill="FFFFFF"/>
              </w:rPr>
              <w:t>《中华人民共和国大气污染防治法》</w:t>
            </w:r>
            <w:r>
              <w:rPr>
                <w:rFonts w:hint="default" w:ascii="Times New Roman" w:hAnsi="Times New Roman" w:eastAsia="宋体" w:cs="Times New Roman"/>
                <w:i w:val="0"/>
                <w:iCs w:val="0"/>
                <w:caps w:val="0"/>
                <w:color w:val="333333"/>
                <w:spacing w:val="0"/>
                <w:sz w:val="18"/>
                <w:szCs w:val="18"/>
                <w:shd w:val="clear" w:fill="FFFFFF"/>
                <w:lang w:eastAsia="zh-CN"/>
              </w:rPr>
              <w:t>、</w:t>
            </w:r>
            <w:r>
              <w:rPr>
                <w:rFonts w:hint="default" w:ascii="Times New Roman" w:hAnsi="Times New Roman" w:eastAsia="宋体" w:cs="Times New Roman"/>
                <w:i w:val="0"/>
                <w:iCs w:val="0"/>
                <w:caps w:val="0"/>
                <w:color w:val="333333"/>
                <w:spacing w:val="0"/>
                <w:sz w:val="18"/>
                <w:szCs w:val="18"/>
                <w:shd w:val="clear" w:fill="FFFFFF"/>
              </w:rPr>
              <w:t>《中华人民共和国固体废物污染环境防治法》</w:t>
            </w:r>
            <w:r>
              <w:rPr>
                <w:rFonts w:hint="default" w:ascii="Times New Roman" w:hAnsi="Times New Roman" w:eastAsia="宋体" w:cs="Times New Roman"/>
                <w:i w:val="0"/>
                <w:iCs w:val="0"/>
                <w:caps w:val="0"/>
                <w:color w:val="333333"/>
                <w:spacing w:val="0"/>
                <w:sz w:val="18"/>
                <w:szCs w:val="18"/>
                <w:shd w:val="clear" w:fill="FFFFFF"/>
                <w:lang w:eastAsia="zh-CN"/>
              </w:rPr>
              <w:t>、</w:t>
            </w:r>
            <w:r>
              <w:rPr>
                <w:rFonts w:hint="default" w:ascii="Times New Roman" w:hAnsi="Times New Roman" w:eastAsia="宋体" w:cs="Times New Roman"/>
                <w:i w:val="0"/>
                <w:iCs w:val="0"/>
                <w:caps w:val="0"/>
                <w:color w:val="333333"/>
                <w:spacing w:val="0"/>
                <w:sz w:val="18"/>
                <w:szCs w:val="18"/>
                <w:shd w:val="clear" w:fill="FFFFFF"/>
              </w:rPr>
              <w:t>《中华人民共和国</w:t>
            </w:r>
            <w:bookmarkStart w:id="69" w:name="_GoBack"/>
            <w:bookmarkEnd w:id="69"/>
            <w:r>
              <w:rPr>
                <w:rFonts w:hint="default" w:ascii="Times New Roman" w:hAnsi="Times New Roman" w:eastAsia="宋体" w:cs="Times New Roman"/>
                <w:i w:val="0"/>
                <w:iCs w:val="0"/>
                <w:caps w:val="0"/>
                <w:color w:val="333333"/>
                <w:spacing w:val="0"/>
                <w:sz w:val="18"/>
                <w:szCs w:val="18"/>
                <w:shd w:val="clear" w:fill="FFFFFF"/>
              </w:rPr>
              <w:t>噪声污染防治法》</w:t>
            </w:r>
            <w:r>
              <w:rPr>
                <w:rFonts w:hint="default" w:ascii="Times New Roman" w:hAnsi="Times New Roman" w:eastAsia="宋体" w:cs="Times New Roman"/>
                <w:i w:val="0"/>
                <w:iCs w:val="0"/>
                <w:caps w:val="0"/>
                <w:color w:val="333333"/>
                <w:spacing w:val="0"/>
                <w:sz w:val="18"/>
                <w:szCs w:val="18"/>
                <w:shd w:val="clear" w:fill="FFFFFF"/>
                <w:lang w:eastAsia="zh-CN"/>
              </w:rPr>
              <w:t>、</w:t>
            </w:r>
            <w:r>
              <w:rPr>
                <w:rFonts w:hint="default" w:ascii="Times New Roman" w:hAnsi="Times New Roman" w:eastAsia="宋体" w:cs="Times New Roman"/>
                <w:i w:val="0"/>
                <w:iCs w:val="0"/>
                <w:caps w:val="0"/>
                <w:color w:val="333333"/>
                <w:spacing w:val="0"/>
                <w:sz w:val="18"/>
                <w:szCs w:val="18"/>
                <w:shd w:val="clear" w:fill="FFFFFF"/>
              </w:rPr>
              <w:t>《中华人民共和国环境影响评价法》</w:t>
            </w:r>
            <w:r>
              <w:rPr>
                <w:rFonts w:hint="default" w:ascii="Times New Roman" w:hAnsi="Times New Roman" w:eastAsia="宋体" w:cs="Times New Roman"/>
                <w:i w:val="0"/>
                <w:iCs w:val="0"/>
                <w:caps w:val="0"/>
                <w:color w:val="333333"/>
                <w:spacing w:val="0"/>
                <w:sz w:val="18"/>
                <w:szCs w:val="18"/>
                <w:shd w:val="clear" w:fill="FFFFFF"/>
                <w:lang w:eastAsia="zh-CN"/>
              </w:rPr>
              <w:t>、</w:t>
            </w:r>
            <w:r>
              <w:rPr>
                <w:rFonts w:hint="default" w:ascii="Times New Roman" w:hAnsi="Times New Roman" w:eastAsia="宋体" w:cs="Times New Roman"/>
                <w:i w:val="0"/>
                <w:iCs w:val="0"/>
                <w:caps w:val="0"/>
                <w:color w:val="333333"/>
                <w:spacing w:val="0"/>
                <w:sz w:val="18"/>
                <w:szCs w:val="18"/>
                <w:shd w:val="clear" w:fill="FFFFFF"/>
              </w:rPr>
              <w:t>《中华人民共和国清洁生产促进法》</w:t>
            </w:r>
            <w:r>
              <w:rPr>
                <w:rFonts w:hint="default" w:ascii="Times New Roman" w:hAnsi="Times New Roman" w:eastAsia="宋体" w:cs="Times New Roman"/>
                <w:i w:val="0"/>
                <w:iCs w:val="0"/>
                <w:caps w:val="0"/>
                <w:color w:val="333333"/>
                <w:spacing w:val="0"/>
                <w:sz w:val="18"/>
                <w:szCs w:val="18"/>
                <w:shd w:val="clear" w:fill="FFFFFF"/>
                <w:lang w:val="en-US" w:eastAsia="zh-CN"/>
              </w:rPr>
              <w:t>等有关环境保护的法律法规要求。理解清洁生产的意义及重要性，熟悉各项法律法规的防治要求及防护措施等。</w:t>
            </w:r>
          </w:p>
        </w:tc>
      </w:tr>
      <w:tr w14:paraId="59E56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9B7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BB424">
            <w:pPr>
              <w:keepNext w:val="0"/>
              <w:keepLines w:val="0"/>
              <w:widowControl/>
              <w:suppressLineNumbers w:val="0"/>
              <w:jc w:val="center"/>
              <w:textAlignment w:val="center"/>
              <w:rPr>
                <w:rFonts w:hint="default" w:ascii="Times New Roman" w:hAnsi="Times New Roman" w:eastAsia="宋体" w:cs="Times New Roman"/>
                <w:i w:val="0"/>
                <w:iCs w:val="0"/>
                <w:caps w:val="0"/>
                <w:color w:val="333333"/>
                <w:spacing w:val="0"/>
                <w:kern w:val="2"/>
                <w:sz w:val="18"/>
                <w:szCs w:val="18"/>
                <w:shd w:val="clear" w:fill="FFFFFF"/>
                <w:lang w:val="en-US" w:eastAsia="zh-CN" w:bidi="ar-SA"/>
              </w:rPr>
            </w:pPr>
            <w:r>
              <w:rPr>
                <w:rFonts w:hint="default" w:ascii="Times New Roman" w:hAnsi="Times New Roman" w:eastAsia="宋体" w:cs="Times New Roman"/>
                <w:i w:val="0"/>
                <w:iCs w:val="0"/>
                <w:caps w:val="0"/>
                <w:color w:val="333333"/>
                <w:spacing w:val="0"/>
                <w:sz w:val="18"/>
                <w:szCs w:val="18"/>
                <w:shd w:val="clear" w:fill="FFFFFF"/>
                <w:lang w:val="en-US" w:eastAsia="zh-CN"/>
              </w:rPr>
              <w:t>锂离子电池特性及对环境的危害</w:t>
            </w:r>
          </w:p>
        </w:tc>
      </w:tr>
      <w:tr w14:paraId="3DDBA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448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D1C53">
            <w:pPr>
              <w:keepNext w:val="0"/>
              <w:keepLines w:val="0"/>
              <w:widowControl/>
              <w:suppressLineNumbers w:val="0"/>
              <w:jc w:val="center"/>
              <w:textAlignment w:val="center"/>
              <w:rPr>
                <w:rFonts w:hint="default" w:ascii="Times New Roman" w:hAnsi="Times New Roman" w:eastAsia="宋体" w:cs="Times New Roman"/>
                <w:i w:val="0"/>
                <w:iCs w:val="0"/>
                <w:caps w:val="0"/>
                <w:color w:val="333333"/>
                <w:spacing w:val="0"/>
                <w:kern w:val="2"/>
                <w:sz w:val="18"/>
                <w:szCs w:val="18"/>
                <w:shd w:val="clear" w:fill="FFFFFF"/>
                <w:lang w:val="en-US" w:eastAsia="zh-CN" w:bidi="ar-SA"/>
              </w:rPr>
            </w:pPr>
            <w:r>
              <w:rPr>
                <w:rFonts w:hint="default" w:ascii="Times New Roman" w:hAnsi="Times New Roman" w:eastAsia="宋体" w:cs="Times New Roman"/>
                <w:i w:val="0"/>
                <w:iCs w:val="0"/>
                <w:caps w:val="0"/>
                <w:color w:val="333333"/>
                <w:spacing w:val="0"/>
                <w:sz w:val="18"/>
                <w:szCs w:val="18"/>
                <w:shd w:val="clear" w:fill="FFFFFF"/>
                <w:lang w:val="en-US" w:eastAsia="zh-CN"/>
              </w:rPr>
              <w:t>企业生产过程中的风险点及污染防治措施</w:t>
            </w:r>
          </w:p>
        </w:tc>
      </w:tr>
      <w:tr w14:paraId="6E6FE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FEE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4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57FF9">
            <w:pPr>
              <w:keepNext w:val="0"/>
              <w:keepLines w:val="0"/>
              <w:widowControl/>
              <w:suppressLineNumbers w:val="0"/>
              <w:jc w:val="center"/>
              <w:textAlignment w:val="center"/>
              <w:rPr>
                <w:rFonts w:hint="default" w:ascii="Times New Roman" w:hAnsi="Times New Roman" w:eastAsia="宋体" w:cs="Times New Roman"/>
                <w:i w:val="0"/>
                <w:iCs w:val="0"/>
                <w:caps w:val="0"/>
                <w:color w:val="333333"/>
                <w:spacing w:val="0"/>
                <w:kern w:val="2"/>
                <w:sz w:val="18"/>
                <w:szCs w:val="18"/>
                <w:shd w:val="clear" w:fill="FFFFFF"/>
                <w:lang w:val="en-US" w:eastAsia="zh-CN" w:bidi="ar-SA"/>
              </w:rPr>
            </w:pPr>
            <w:r>
              <w:rPr>
                <w:rFonts w:hint="default" w:ascii="Times New Roman" w:hAnsi="Times New Roman" w:eastAsia="宋体" w:cs="Times New Roman"/>
                <w:i w:val="0"/>
                <w:iCs w:val="0"/>
                <w:caps w:val="0"/>
                <w:color w:val="333333"/>
                <w:spacing w:val="0"/>
                <w:sz w:val="18"/>
                <w:szCs w:val="18"/>
                <w:shd w:val="clear" w:fill="FFFFFF"/>
                <w:lang w:val="en-US" w:eastAsia="zh-CN"/>
              </w:rPr>
              <w:t>环境突发事件应急处置措施</w:t>
            </w:r>
          </w:p>
        </w:tc>
      </w:tr>
    </w:tbl>
    <w:p w14:paraId="2CCEE05D">
      <w:pPr>
        <w:pStyle w:val="56"/>
        <w:ind w:left="0" w:leftChars="0" w:firstLine="0" w:firstLineChars="0"/>
        <w:rPr>
          <w:rFonts w:hint="eastAsia"/>
        </w:rPr>
      </w:pPr>
    </w:p>
    <w:p w14:paraId="11B9B225">
      <w:pPr>
        <w:pStyle w:val="56"/>
        <w:ind w:left="0" w:leftChars="0" w:firstLine="0" w:firstLineChars="0"/>
        <w:rPr>
          <w:rFonts w:hint="eastAsia"/>
        </w:rPr>
      </w:pPr>
    </w:p>
    <w:p w14:paraId="178B372B">
      <w:pPr>
        <w:pStyle w:val="56"/>
        <w:ind w:left="0" w:leftChars="0" w:firstLine="0" w:firstLineChars="0"/>
        <w:rPr>
          <w:rFonts w:hint="eastAsia"/>
        </w:rPr>
      </w:pPr>
    </w:p>
    <w:p w14:paraId="51F85FD4">
      <w:pPr>
        <w:pStyle w:val="56"/>
        <w:ind w:left="0" w:leftChars="0" w:firstLine="0" w:firstLineChars="0"/>
        <w:rPr>
          <w:rFonts w:hint="eastAsia"/>
        </w:rPr>
      </w:pPr>
    </w:p>
    <w:p w14:paraId="0BF91D2D">
      <w:pPr>
        <w:pStyle w:val="56"/>
        <w:ind w:left="0" w:leftChars="0" w:firstLine="0" w:firstLineChars="0"/>
        <w:rPr>
          <w:rFonts w:hint="eastAsia"/>
        </w:rPr>
      </w:pPr>
    </w:p>
    <w:p w14:paraId="2566A894">
      <w:pPr>
        <w:pStyle w:val="56"/>
        <w:ind w:left="0" w:leftChars="0" w:firstLine="0" w:firstLineChars="0"/>
        <w:rPr>
          <w:rFonts w:hint="eastAsia"/>
        </w:rPr>
      </w:pPr>
    </w:p>
    <w:p w14:paraId="493A5FA6">
      <w:pPr>
        <w:pStyle w:val="56"/>
        <w:ind w:left="0" w:leftChars="0" w:firstLine="0" w:firstLineChars="0"/>
        <w:rPr>
          <w:rFonts w:hint="eastAsia"/>
        </w:rPr>
      </w:pPr>
    </w:p>
    <w:p w14:paraId="2B88B5ED">
      <w:pPr>
        <w:pStyle w:val="56"/>
        <w:ind w:left="0" w:leftChars="0" w:firstLine="0" w:firstLineChars="0"/>
        <w:rPr>
          <w:rFonts w:hint="eastAsia"/>
        </w:rPr>
      </w:pPr>
    </w:p>
    <w:p w14:paraId="362F793D">
      <w:pPr>
        <w:pStyle w:val="56"/>
        <w:ind w:left="0" w:leftChars="0" w:firstLine="0" w:firstLineChars="0"/>
        <w:rPr>
          <w:rFonts w:hint="eastAsia"/>
        </w:rPr>
      </w:pPr>
    </w:p>
    <w:p w14:paraId="4DC52787">
      <w:pPr>
        <w:pStyle w:val="56"/>
        <w:ind w:left="0" w:leftChars="0" w:firstLine="0" w:firstLineChars="0"/>
        <w:rPr>
          <w:rFonts w:hint="eastAsia"/>
        </w:rPr>
      </w:pPr>
    </w:p>
    <w:p w14:paraId="25CEDE02">
      <w:pPr>
        <w:pStyle w:val="56"/>
        <w:ind w:left="0" w:leftChars="0" w:firstLine="0" w:firstLineChars="0"/>
        <w:rPr>
          <w:rFonts w:hint="eastAsia"/>
        </w:rPr>
      </w:pPr>
    </w:p>
    <w:p w14:paraId="3E168100">
      <w:pPr>
        <w:pStyle w:val="56"/>
        <w:ind w:left="0" w:leftChars="0" w:firstLine="0" w:firstLineChars="0"/>
        <w:rPr>
          <w:rFonts w:hint="eastAsia"/>
        </w:rPr>
      </w:pPr>
    </w:p>
    <w:p w14:paraId="05870E00">
      <w:pPr>
        <w:pStyle w:val="56"/>
        <w:ind w:left="0" w:leftChars="0" w:firstLine="0" w:firstLineChars="0"/>
        <w:rPr>
          <w:rFonts w:hint="eastAsia"/>
        </w:rPr>
      </w:pPr>
    </w:p>
    <w:p w14:paraId="065521C8">
      <w:pPr>
        <w:pStyle w:val="56"/>
        <w:ind w:left="0" w:leftChars="0" w:firstLine="0" w:firstLineChars="0"/>
        <w:rPr>
          <w:rFonts w:hint="eastAsia"/>
        </w:rPr>
      </w:pPr>
    </w:p>
    <w:p w14:paraId="478DD84A">
      <w:pPr>
        <w:pStyle w:val="56"/>
        <w:ind w:left="0" w:leftChars="0" w:firstLine="0" w:firstLineChars="0"/>
        <w:rPr>
          <w:rFonts w:hint="eastAsia"/>
        </w:rPr>
      </w:pPr>
    </w:p>
    <w:p w14:paraId="32A45B3C">
      <w:pPr>
        <w:pStyle w:val="56"/>
        <w:ind w:left="0" w:leftChars="0" w:firstLine="0" w:firstLineChars="0"/>
        <w:rPr>
          <w:rFonts w:hint="eastAsia"/>
        </w:rPr>
      </w:pPr>
    </w:p>
    <w:p w14:paraId="421A7314">
      <w:pPr>
        <w:pStyle w:val="56"/>
        <w:ind w:left="0" w:leftChars="0" w:firstLine="0" w:firstLineChars="0"/>
        <w:rPr>
          <w:rFonts w:hint="eastAsia"/>
        </w:rPr>
      </w:pPr>
    </w:p>
    <w:p w14:paraId="31B39B36">
      <w:pPr>
        <w:pStyle w:val="56"/>
        <w:ind w:left="0" w:leftChars="0" w:firstLine="0" w:firstLineChars="0"/>
        <w:rPr>
          <w:rFonts w:hint="eastAsia"/>
        </w:rPr>
      </w:pPr>
    </w:p>
    <w:p w14:paraId="65A2F746">
      <w:pPr>
        <w:pStyle w:val="56"/>
        <w:ind w:left="0" w:leftChars="0" w:firstLine="0" w:firstLineChars="0"/>
        <w:rPr>
          <w:rFonts w:hint="eastAsia"/>
        </w:rPr>
      </w:pPr>
    </w:p>
    <w:p w14:paraId="6D413C1F">
      <w:pPr>
        <w:pStyle w:val="56"/>
        <w:ind w:left="0" w:leftChars="0" w:firstLine="0" w:firstLineChars="0"/>
        <w:rPr>
          <w:rFonts w:hint="eastAsia"/>
        </w:rPr>
      </w:pPr>
    </w:p>
    <w:p w14:paraId="16AF6C95">
      <w:pPr>
        <w:pStyle w:val="56"/>
        <w:ind w:left="0" w:leftChars="0" w:firstLine="0" w:firstLineChars="0"/>
        <w:rPr>
          <w:rFonts w:hint="eastAsia"/>
        </w:rPr>
      </w:pPr>
    </w:p>
    <w:p w14:paraId="015B91AF">
      <w:pPr>
        <w:pStyle w:val="56"/>
        <w:ind w:left="0" w:leftChars="0" w:firstLine="0" w:firstLineChars="0"/>
        <w:rPr>
          <w:rFonts w:hint="eastAsia"/>
        </w:rPr>
      </w:pPr>
    </w:p>
    <w:p w14:paraId="0F7B3BBA">
      <w:pPr>
        <w:pStyle w:val="56"/>
        <w:ind w:left="0" w:leftChars="0" w:firstLine="0" w:firstLineChars="0"/>
        <w:rPr>
          <w:rFonts w:hint="eastAsia"/>
        </w:rPr>
      </w:pPr>
    </w:p>
    <w:p w14:paraId="09662D58">
      <w:pPr>
        <w:pStyle w:val="56"/>
        <w:ind w:left="0" w:leftChars="0" w:firstLine="0" w:firstLineChars="0"/>
        <w:rPr>
          <w:rFonts w:hint="eastAsia"/>
        </w:rPr>
      </w:pPr>
    </w:p>
    <w:p w14:paraId="458D6859">
      <w:pPr>
        <w:pStyle w:val="63"/>
        <w:shd w:val="clear" w:color="FFFFFF" w:fill="FFFFFF"/>
        <w:spacing w:before="580" w:beforeLines="-2147483648" w:after="156"/>
        <w:rPr>
          <w:rFonts w:hint="eastAsia"/>
          <w:spacing w:val="105"/>
        </w:rPr>
      </w:pPr>
      <w:bookmarkStart w:id="66" w:name="_Toc30140"/>
      <w:bookmarkStart w:id="67" w:name="_Toc8781"/>
      <w:bookmarkStart w:id="68" w:name="_Toc15829"/>
      <w:r>
        <w:rPr>
          <w:rFonts w:hint="eastAsia"/>
          <w:spacing w:val="105"/>
        </w:rPr>
        <w:t>参考文献</w:t>
      </w:r>
      <w:bookmarkEnd w:id="66"/>
      <w:bookmarkEnd w:id="67"/>
      <w:bookmarkEnd w:id="68"/>
    </w:p>
    <w:p w14:paraId="3AD9F16C">
      <w:pPr>
        <w:pStyle w:val="2"/>
      </w:pPr>
    </w:p>
    <w:p w14:paraId="2F6473DC">
      <w:pPr>
        <w:pStyle w:val="56"/>
        <w:ind w:firstLine="420"/>
        <w:rPr>
          <w:rFonts w:hint="default" w:ascii="Times New Roman" w:hAnsi="Times New Roman" w:cs="Times New Roman"/>
        </w:rPr>
      </w:pPr>
      <w:r>
        <w:rPr>
          <w:rFonts w:hint="eastAsia" w:ascii="宋体" w:hAnsi="宋体" w:eastAsia="宋体" w:cs="宋体"/>
        </w:rPr>
        <w:t>[1]</w:t>
      </w:r>
      <w:r>
        <w:rPr>
          <w:rFonts w:hint="eastAsia" w:ascii="宋体" w:hAnsi="宋体" w:eastAsia="宋体" w:cs="宋体"/>
          <w:lang w:val="en-US" w:eastAsia="zh-CN"/>
        </w:rPr>
        <w:t xml:space="preserve"> </w:t>
      </w:r>
      <w:r>
        <w:rPr>
          <w:rFonts w:hint="default" w:ascii="Times New Roman" w:hAnsi="Times New Roman" w:cs="Times New Roman"/>
        </w:rPr>
        <w:t>《新能源汽车废旧动力蓄电池综合利用行业规范条件（2019年本）》</w:t>
      </w:r>
    </w:p>
    <w:p w14:paraId="01161A08">
      <w:pPr>
        <w:widowControl/>
        <w:adjustRightInd/>
        <w:spacing w:line="240" w:lineRule="auto"/>
        <w:jc w:val="center"/>
      </w:pPr>
    </w:p>
    <w:p w14:paraId="6B0D3C9B">
      <w:pPr>
        <w:widowControl/>
        <w:adjustRightInd/>
        <w:spacing w:line="240" w:lineRule="auto"/>
        <w:jc w:val="center"/>
      </w:pPr>
    </w:p>
    <w:p w14:paraId="37994EA0">
      <w:pPr>
        <w:widowControl/>
        <w:adjustRightInd/>
        <w:spacing w:line="240" w:lineRule="auto"/>
        <w:jc w:val="center"/>
        <w:rPr>
          <w:rFonts w:ascii="Times New Roman" w:hAnsi="Times New Roman"/>
          <w:kern w:val="0"/>
          <w:szCs w:val="20"/>
        </w:rPr>
      </w:pPr>
      <w:r>
        <w:drawing>
          <wp:inline distT="0" distB="0" distL="0" distR="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416D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ABD8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2015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380A3">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934B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D02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0AE2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5EBC7">
    <w:pPr>
      <w:pStyle w:val="61"/>
    </w:pPr>
    <w:r>
      <w:fldChar w:fldCharType="begin"/>
    </w:r>
    <w:r>
      <w:instrText xml:space="preserve"> STYLEREF  标准文件_文件编号  \* MERGEFORMAT </w:instrText>
    </w:r>
    <w:r>
      <w:fldChar w:fldCharType="separate"/>
    </w:r>
    <w:r>
      <w:t>DB XX/T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2872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EaifwVn1jBXa83tfRTydN0cp4tXsBenYaK+8HECmd/MOTRIEBb4Qfhbf1H4EUTj+jUPuES5+dj8SbW9m222Kog==" w:salt="4AGPxtiKo2UrcEt3jhANHg=="/>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2NWUyOWY4Yjc1MDA2YjIxZWE2N2Q2MDA4NWMwOTUifQ=="/>
  </w:docVars>
  <w:rsids>
    <w:rsidRoot w:val="00D70226"/>
    <w:rsid w:val="0000040A"/>
    <w:rsid w:val="00000A94"/>
    <w:rsid w:val="00001972"/>
    <w:rsid w:val="00001D9A"/>
    <w:rsid w:val="00003CBC"/>
    <w:rsid w:val="000062D1"/>
    <w:rsid w:val="00007B3A"/>
    <w:rsid w:val="000107E0"/>
    <w:rsid w:val="00011FDE"/>
    <w:rsid w:val="00012FFD"/>
    <w:rsid w:val="00014162"/>
    <w:rsid w:val="00014340"/>
    <w:rsid w:val="00016A9C"/>
    <w:rsid w:val="00022184"/>
    <w:rsid w:val="00022762"/>
    <w:rsid w:val="000238E0"/>
    <w:rsid w:val="000249DB"/>
    <w:rsid w:val="0002595E"/>
    <w:rsid w:val="00027BF6"/>
    <w:rsid w:val="000303C3"/>
    <w:rsid w:val="000331D3"/>
    <w:rsid w:val="000346A5"/>
    <w:rsid w:val="000359C3"/>
    <w:rsid w:val="00035A7D"/>
    <w:rsid w:val="000365ED"/>
    <w:rsid w:val="0004249A"/>
    <w:rsid w:val="00043282"/>
    <w:rsid w:val="00044286"/>
    <w:rsid w:val="00047F28"/>
    <w:rsid w:val="000503AA"/>
    <w:rsid w:val="000506A1"/>
    <w:rsid w:val="000515DD"/>
    <w:rsid w:val="00051702"/>
    <w:rsid w:val="0005265A"/>
    <w:rsid w:val="00052F0B"/>
    <w:rsid w:val="000539DD"/>
    <w:rsid w:val="00053BD3"/>
    <w:rsid w:val="000556ED"/>
    <w:rsid w:val="00055FE2"/>
    <w:rsid w:val="0005616F"/>
    <w:rsid w:val="00060C2E"/>
    <w:rsid w:val="00061033"/>
    <w:rsid w:val="0006145B"/>
    <w:rsid w:val="000619E9"/>
    <w:rsid w:val="000622D4"/>
    <w:rsid w:val="0006357D"/>
    <w:rsid w:val="00067F1E"/>
    <w:rsid w:val="00071CC0"/>
    <w:rsid w:val="00073C8C"/>
    <w:rsid w:val="00077B64"/>
    <w:rsid w:val="00080A1C"/>
    <w:rsid w:val="00082317"/>
    <w:rsid w:val="000824A9"/>
    <w:rsid w:val="00083D2C"/>
    <w:rsid w:val="00086AA1"/>
    <w:rsid w:val="00087A77"/>
    <w:rsid w:val="000907A4"/>
    <w:rsid w:val="00090CA6"/>
    <w:rsid w:val="00092B8A"/>
    <w:rsid w:val="00092FB0"/>
    <w:rsid w:val="000934C5"/>
    <w:rsid w:val="00093D25"/>
    <w:rsid w:val="00093DAB"/>
    <w:rsid w:val="00094D73"/>
    <w:rsid w:val="00094E1B"/>
    <w:rsid w:val="00096D63"/>
    <w:rsid w:val="000A0B60"/>
    <w:rsid w:val="000A0EB8"/>
    <w:rsid w:val="000A19FC"/>
    <w:rsid w:val="000A296B"/>
    <w:rsid w:val="000A396B"/>
    <w:rsid w:val="000A7311"/>
    <w:rsid w:val="000B060F"/>
    <w:rsid w:val="000B1592"/>
    <w:rsid w:val="000B1FF2"/>
    <w:rsid w:val="000B3CDA"/>
    <w:rsid w:val="000B6A0B"/>
    <w:rsid w:val="000C0871"/>
    <w:rsid w:val="000C0F6C"/>
    <w:rsid w:val="000C11DB"/>
    <w:rsid w:val="000C1492"/>
    <w:rsid w:val="000C1784"/>
    <w:rsid w:val="000C2FBD"/>
    <w:rsid w:val="000C4B41"/>
    <w:rsid w:val="000C57D6"/>
    <w:rsid w:val="000C6362"/>
    <w:rsid w:val="000C760D"/>
    <w:rsid w:val="000C7666"/>
    <w:rsid w:val="000D0A9C"/>
    <w:rsid w:val="000D138A"/>
    <w:rsid w:val="000D1795"/>
    <w:rsid w:val="000D329A"/>
    <w:rsid w:val="000D4B9C"/>
    <w:rsid w:val="000D4EB6"/>
    <w:rsid w:val="000D753B"/>
    <w:rsid w:val="000E1F6D"/>
    <w:rsid w:val="000E4C9E"/>
    <w:rsid w:val="000E6FD7"/>
    <w:rsid w:val="000F06E1"/>
    <w:rsid w:val="000F0E3C"/>
    <w:rsid w:val="000F19D5"/>
    <w:rsid w:val="000F4AEA"/>
    <w:rsid w:val="000F633F"/>
    <w:rsid w:val="000F67E9"/>
    <w:rsid w:val="00104926"/>
    <w:rsid w:val="001104B2"/>
    <w:rsid w:val="00113B1E"/>
    <w:rsid w:val="0011711C"/>
    <w:rsid w:val="0012059C"/>
    <w:rsid w:val="00124E4F"/>
    <w:rsid w:val="0012536D"/>
    <w:rsid w:val="001260B7"/>
    <w:rsid w:val="001265CB"/>
    <w:rsid w:val="00131213"/>
    <w:rsid w:val="001321C6"/>
    <w:rsid w:val="001325C4"/>
    <w:rsid w:val="00132C72"/>
    <w:rsid w:val="00133010"/>
    <w:rsid w:val="001338EE"/>
    <w:rsid w:val="00133AAE"/>
    <w:rsid w:val="00135323"/>
    <w:rsid w:val="001356C4"/>
    <w:rsid w:val="00141114"/>
    <w:rsid w:val="0014113B"/>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48"/>
    <w:rsid w:val="00170804"/>
    <w:rsid w:val="001708E9"/>
    <w:rsid w:val="0017340B"/>
    <w:rsid w:val="00173FB1"/>
    <w:rsid w:val="00176DFD"/>
    <w:rsid w:val="00180A4C"/>
    <w:rsid w:val="001852C9"/>
    <w:rsid w:val="00187DD4"/>
    <w:rsid w:val="00190087"/>
    <w:rsid w:val="001913C4"/>
    <w:rsid w:val="0019348F"/>
    <w:rsid w:val="00193A07"/>
    <w:rsid w:val="00194C95"/>
    <w:rsid w:val="00195C34"/>
    <w:rsid w:val="00195F2C"/>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9E4"/>
    <w:rsid w:val="001D411C"/>
    <w:rsid w:val="001E1B6A"/>
    <w:rsid w:val="001E1D10"/>
    <w:rsid w:val="001E245E"/>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793"/>
    <w:rsid w:val="00205F2C"/>
    <w:rsid w:val="00210B15"/>
    <w:rsid w:val="002142EA"/>
    <w:rsid w:val="00216FCA"/>
    <w:rsid w:val="002204BB"/>
    <w:rsid w:val="002205C6"/>
    <w:rsid w:val="00221B79"/>
    <w:rsid w:val="00221C6B"/>
    <w:rsid w:val="00222796"/>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43"/>
    <w:rsid w:val="00263D25"/>
    <w:rsid w:val="002643C3"/>
    <w:rsid w:val="00264A0C"/>
    <w:rsid w:val="00266EEB"/>
    <w:rsid w:val="00267EF4"/>
    <w:rsid w:val="00270CB8"/>
    <w:rsid w:val="00272B08"/>
    <w:rsid w:val="00275F25"/>
    <w:rsid w:val="00281BB8"/>
    <w:rsid w:val="00281E9E"/>
    <w:rsid w:val="00282405"/>
    <w:rsid w:val="00285170"/>
    <w:rsid w:val="00285361"/>
    <w:rsid w:val="00292D60"/>
    <w:rsid w:val="00293B30"/>
    <w:rsid w:val="00294656"/>
    <w:rsid w:val="00294D34"/>
    <w:rsid w:val="00294E3B"/>
    <w:rsid w:val="00296193"/>
    <w:rsid w:val="00296C66"/>
    <w:rsid w:val="00296EBE"/>
    <w:rsid w:val="002974E3"/>
    <w:rsid w:val="002A0000"/>
    <w:rsid w:val="002A084B"/>
    <w:rsid w:val="002A1260"/>
    <w:rsid w:val="002A1589"/>
    <w:rsid w:val="002A1608"/>
    <w:rsid w:val="002A25DC"/>
    <w:rsid w:val="002A3AAB"/>
    <w:rsid w:val="002A4CEA"/>
    <w:rsid w:val="002A5977"/>
    <w:rsid w:val="002A5A13"/>
    <w:rsid w:val="002A757F"/>
    <w:rsid w:val="002A7F44"/>
    <w:rsid w:val="002B0C40"/>
    <w:rsid w:val="002B1966"/>
    <w:rsid w:val="002B31FF"/>
    <w:rsid w:val="002B4508"/>
    <w:rsid w:val="002B5779"/>
    <w:rsid w:val="002B7332"/>
    <w:rsid w:val="002B7F51"/>
    <w:rsid w:val="002C09E7"/>
    <w:rsid w:val="002C1E06"/>
    <w:rsid w:val="002C1E1C"/>
    <w:rsid w:val="002C3F07"/>
    <w:rsid w:val="002C5278"/>
    <w:rsid w:val="002C5601"/>
    <w:rsid w:val="002C5731"/>
    <w:rsid w:val="002C5EC3"/>
    <w:rsid w:val="002C7EBB"/>
    <w:rsid w:val="002D06C1"/>
    <w:rsid w:val="002D42B5"/>
    <w:rsid w:val="002D4F1A"/>
    <w:rsid w:val="002D6260"/>
    <w:rsid w:val="002D6EC6"/>
    <w:rsid w:val="002D79AC"/>
    <w:rsid w:val="002E039D"/>
    <w:rsid w:val="002E37B6"/>
    <w:rsid w:val="002E46BE"/>
    <w:rsid w:val="002E4D5A"/>
    <w:rsid w:val="002E5207"/>
    <w:rsid w:val="002E6326"/>
    <w:rsid w:val="002F30E0"/>
    <w:rsid w:val="002F35E4"/>
    <w:rsid w:val="002F3730"/>
    <w:rsid w:val="002F3762"/>
    <w:rsid w:val="002F38E1"/>
    <w:rsid w:val="002F7AF6"/>
    <w:rsid w:val="00300E63"/>
    <w:rsid w:val="00302F5F"/>
    <w:rsid w:val="003033F6"/>
    <w:rsid w:val="0030441D"/>
    <w:rsid w:val="00305777"/>
    <w:rsid w:val="00306063"/>
    <w:rsid w:val="00313B85"/>
    <w:rsid w:val="00316CF6"/>
    <w:rsid w:val="00317988"/>
    <w:rsid w:val="003221B4"/>
    <w:rsid w:val="0032258D"/>
    <w:rsid w:val="00322E62"/>
    <w:rsid w:val="00324D13"/>
    <w:rsid w:val="00324D2A"/>
    <w:rsid w:val="00324EDD"/>
    <w:rsid w:val="003331E4"/>
    <w:rsid w:val="00336C64"/>
    <w:rsid w:val="00337162"/>
    <w:rsid w:val="003376D2"/>
    <w:rsid w:val="0034194F"/>
    <w:rsid w:val="00344605"/>
    <w:rsid w:val="00344B09"/>
    <w:rsid w:val="003474AA"/>
    <w:rsid w:val="00350D1D"/>
    <w:rsid w:val="00352C83"/>
    <w:rsid w:val="003615D2"/>
    <w:rsid w:val="0036429C"/>
    <w:rsid w:val="00364A53"/>
    <w:rsid w:val="003654CB"/>
    <w:rsid w:val="00365AA9"/>
    <w:rsid w:val="00365F86"/>
    <w:rsid w:val="00365F87"/>
    <w:rsid w:val="00366E89"/>
    <w:rsid w:val="003676CC"/>
    <w:rsid w:val="003705F4"/>
    <w:rsid w:val="00370D58"/>
    <w:rsid w:val="00371222"/>
    <w:rsid w:val="00371316"/>
    <w:rsid w:val="003758A8"/>
    <w:rsid w:val="00376713"/>
    <w:rsid w:val="003806CC"/>
    <w:rsid w:val="00381815"/>
    <w:rsid w:val="003819AF"/>
    <w:rsid w:val="003820E9"/>
    <w:rsid w:val="00382DE7"/>
    <w:rsid w:val="00384FFC"/>
    <w:rsid w:val="003856A5"/>
    <w:rsid w:val="003872FC"/>
    <w:rsid w:val="00387ADC"/>
    <w:rsid w:val="00390020"/>
    <w:rsid w:val="003903D6"/>
    <w:rsid w:val="00390EE6"/>
    <w:rsid w:val="0039118F"/>
    <w:rsid w:val="00392AD7"/>
    <w:rsid w:val="003938D9"/>
    <w:rsid w:val="00394376"/>
    <w:rsid w:val="003943FF"/>
    <w:rsid w:val="00394D9D"/>
    <w:rsid w:val="00395700"/>
    <w:rsid w:val="003974EB"/>
    <w:rsid w:val="00397CC5"/>
    <w:rsid w:val="003A1582"/>
    <w:rsid w:val="003A4077"/>
    <w:rsid w:val="003A68DA"/>
    <w:rsid w:val="003B09AD"/>
    <w:rsid w:val="003B1F18"/>
    <w:rsid w:val="003B2493"/>
    <w:rsid w:val="003B5BF0"/>
    <w:rsid w:val="003B60BF"/>
    <w:rsid w:val="003B6BE3"/>
    <w:rsid w:val="003B7ED8"/>
    <w:rsid w:val="003C010C"/>
    <w:rsid w:val="003C0A6C"/>
    <w:rsid w:val="003C14F8"/>
    <w:rsid w:val="003C2EA9"/>
    <w:rsid w:val="003C2FCD"/>
    <w:rsid w:val="003C5A43"/>
    <w:rsid w:val="003D0519"/>
    <w:rsid w:val="003D0FF6"/>
    <w:rsid w:val="003D262C"/>
    <w:rsid w:val="003D382B"/>
    <w:rsid w:val="003D6D61"/>
    <w:rsid w:val="003E091D"/>
    <w:rsid w:val="003E1C53"/>
    <w:rsid w:val="003E2A69"/>
    <w:rsid w:val="003E2D49"/>
    <w:rsid w:val="003E2FD4"/>
    <w:rsid w:val="003E49F6"/>
    <w:rsid w:val="003E5631"/>
    <w:rsid w:val="003E660F"/>
    <w:rsid w:val="003F0841"/>
    <w:rsid w:val="003F23D3"/>
    <w:rsid w:val="003F3F08"/>
    <w:rsid w:val="003F49F1"/>
    <w:rsid w:val="003F6272"/>
    <w:rsid w:val="003F706C"/>
    <w:rsid w:val="00400E72"/>
    <w:rsid w:val="00401400"/>
    <w:rsid w:val="00404869"/>
    <w:rsid w:val="00405884"/>
    <w:rsid w:val="00407D39"/>
    <w:rsid w:val="0041477A"/>
    <w:rsid w:val="004167A3"/>
    <w:rsid w:val="004245C5"/>
    <w:rsid w:val="004273B1"/>
    <w:rsid w:val="004277E9"/>
    <w:rsid w:val="00431376"/>
    <w:rsid w:val="00432DAA"/>
    <w:rsid w:val="00434305"/>
    <w:rsid w:val="00434526"/>
    <w:rsid w:val="004352EE"/>
    <w:rsid w:val="00435DF7"/>
    <w:rsid w:val="0044083F"/>
    <w:rsid w:val="00441AE7"/>
    <w:rsid w:val="00445574"/>
    <w:rsid w:val="004467FB"/>
    <w:rsid w:val="00452D6B"/>
    <w:rsid w:val="00454484"/>
    <w:rsid w:val="0045517B"/>
    <w:rsid w:val="0045620B"/>
    <w:rsid w:val="00457CD7"/>
    <w:rsid w:val="00461B3D"/>
    <w:rsid w:val="00463B77"/>
    <w:rsid w:val="00463C7B"/>
    <w:rsid w:val="004644A6"/>
    <w:rsid w:val="004659BD"/>
    <w:rsid w:val="00465B74"/>
    <w:rsid w:val="00466EA8"/>
    <w:rsid w:val="00470775"/>
    <w:rsid w:val="004746B1"/>
    <w:rsid w:val="0047583F"/>
    <w:rsid w:val="00475DE8"/>
    <w:rsid w:val="00481C44"/>
    <w:rsid w:val="00484936"/>
    <w:rsid w:val="00485C89"/>
    <w:rsid w:val="00486BE3"/>
    <w:rsid w:val="00487F8C"/>
    <w:rsid w:val="004905E4"/>
    <w:rsid w:val="00490A89"/>
    <w:rsid w:val="00490AB4"/>
    <w:rsid w:val="00492F02"/>
    <w:rsid w:val="004939AE"/>
    <w:rsid w:val="004970F4"/>
    <w:rsid w:val="004A12DF"/>
    <w:rsid w:val="004A17E6"/>
    <w:rsid w:val="004A1BA8"/>
    <w:rsid w:val="004A4905"/>
    <w:rsid w:val="004A4B57"/>
    <w:rsid w:val="004A63FA"/>
    <w:rsid w:val="004B0272"/>
    <w:rsid w:val="004B2701"/>
    <w:rsid w:val="004B2E1B"/>
    <w:rsid w:val="004B3AA8"/>
    <w:rsid w:val="004B3E93"/>
    <w:rsid w:val="004B709F"/>
    <w:rsid w:val="004C1FBC"/>
    <w:rsid w:val="004C3F1D"/>
    <w:rsid w:val="004C458D"/>
    <w:rsid w:val="004C7556"/>
    <w:rsid w:val="004C7E8B"/>
    <w:rsid w:val="004C7E9D"/>
    <w:rsid w:val="004C7F67"/>
    <w:rsid w:val="004D076D"/>
    <w:rsid w:val="004D0EF1"/>
    <w:rsid w:val="004D2253"/>
    <w:rsid w:val="004D4406"/>
    <w:rsid w:val="004D7C42"/>
    <w:rsid w:val="004E0465"/>
    <w:rsid w:val="004E0915"/>
    <w:rsid w:val="004E0B30"/>
    <w:rsid w:val="004E127B"/>
    <w:rsid w:val="004E1C0A"/>
    <w:rsid w:val="004E2B06"/>
    <w:rsid w:val="004E30C5"/>
    <w:rsid w:val="004E3173"/>
    <w:rsid w:val="004E4921"/>
    <w:rsid w:val="004E4AA5"/>
    <w:rsid w:val="004E4AEE"/>
    <w:rsid w:val="004E55D8"/>
    <w:rsid w:val="004E59E3"/>
    <w:rsid w:val="004E67C0"/>
    <w:rsid w:val="004F391A"/>
    <w:rsid w:val="004F3CFB"/>
    <w:rsid w:val="004F5A09"/>
    <w:rsid w:val="004F6456"/>
    <w:rsid w:val="004F696E"/>
    <w:rsid w:val="004F6C71"/>
    <w:rsid w:val="00501139"/>
    <w:rsid w:val="0050363E"/>
    <w:rsid w:val="005039BC"/>
    <w:rsid w:val="005043BB"/>
    <w:rsid w:val="00504A3D"/>
    <w:rsid w:val="00505767"/>
    <w:rsid w:val="005073F0"/>
    <w:rsid w:val="00507619"/>
    <w:rsid w:val="005101FD"/>
    <w:rsid w:val="00510A7B"/>
    <w:rsid w:val="00512F6E"/>
    <w:rsid w:val="00513038"/>
    <w:rsid w:val="00513B02"/>
    <w:rsid w:val="00513BE8"/>
    <w:rsid w:val="00514174"/>
    <w:rsid w:val="00516088"/>
    <w:rsid w:val="00516B0B"/>
    <w:rsid w:val="005211F5"/>
    <w:rsid w:val="005220EC"/>
    <w:rsid w:val="00523F95"/>
    <w:rsid w:val="00524810"/>
    <w:rsid w:val="00524D65"/>
    <w:rsid w:val="00525B16"/>
    <w:rsid w:val="00526A66"/>
    <w:rsid w:val="00526B83"/>
    <w:rsid w:val="00533D04"/>
    <w:rsid w:val="00534804"/>
    <w:rsid w:val="00534BDF"/>
    <w:rsid w:val="005354EA"/>
    <w:rsid w:val="0053585F"/>
    <w:rsid w:val="00535EC4"/>
    <w:rsid w:val="00535ED9"/>
    <w:rsid w:val="0053692B"/>
    <w:rsid w:val="00541853"/>
    <w:rsid w:val="005427F4"/>
    <w:rsid w:val="00543BDA"/>
    <w:rsid w:val="005441CC"/>
    <w:rsid w:val="00544E1A"/>
    <w:rsid w:val="005479DA"/>
    <w:rsid w:val="00547BCC"/>
    <w:rsid w:val="0055013B"/>
    <w:rsid w:val="00551F6F"/>
    <w:rsid w:val="00555044"/>
    <w:rsid w:val="00556649"/>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299C"/>
    <w:rsid w:val="005A495C"/>
    <w:rsid w:val="005A4A1B"/>
    <w:rsid w:val="005A7830"/>
    <w:rsid w:val="005A7FCE"/>
    <w:rsid w:val="005B09FC"/>
    <w:rsid w:val="005B0F3F"/>
    <w:rsid w:val="005B4903"/>
    <w:rsid w:val="005B51CE"/>
    <w:rsid w:val="005B5885"/>
    <w:rsid w:val="005B5CD7"/>
    <w:rsid w:val="005B5DD9"/>
    <w:rsid w:val="005B6CF6"/>
    <w:rsid w:val="005B7422"/>
    <w:rsid w:val="005C29B8"/>
    <w:rsid w:val="005C5F21"/>
    <w:rsid w:val="005C7156"/>
    <w:rsid w:val="005D0C75"/>
    <w:rsid w:val="005D3847"/>
    <w:rsid w:val="005D3DB4"/>
    <w:rsid w:val="005D4171"/>
    <w:rsid w:val="005D6A95"/>
    <w:rsid w:val="005D6B2C"/>
    <w:rsid w:val="005D6D9C"/>
    <w:rsid w:val="005E2335"/>
    <w:rsid w:val="005E34CA"/>
    <w:rsid w:val="005E3C18"/>
    <w:rsid w:val="005E6812"/>
    <w:rsid w:val="005E7881"/>
    <w:rsid w:val="005E78E0"/>
    <w:rsid w:val="005F0D9C"/>
    <w:rsid w:val="005F284E"/>
    <w:rsid w:val="005F4712"/>
    <w:rsid w:val="005F49ED"/>
    <w:rsid w:val="006015CE"/>
    <w:rsid w:val="00604784"/>
    <w:rsid w:val="00606419"/>
    <w:rsid w:val="00607D29"/>
    <w:rsid w:val="00612952"/>
    <w:rsid w:val="00614CC1"/>
    <w:rsid w:val="00615194"/>
    <w:rsid w:val="00615A9D"/>
    <w:rsid w:val="00617387"/>
    <w:rsid w:val="006205D6"/>
    <w:rsid w:val="006252D8"/>
    <w:rsid w:val="006259BC"/>
    <w:rsid w:val="00625BDA"/>
    <w:rsid w:val="0062636B"/>
    <w:rsid w:val="00632182"/>
    <w:rsid w:val="00632AE0"/>
    <w:rsid w:val="00633C17"/>
    <w:rsid w:val="00634D9E"/>
    <w:rsid w:val="00636E3E"/>
    <w:rsid w:val="006379F7"/>
    <w:rsid w:val="00637E4D"/>
    <w:rsid w:val="00640620"/>
    <w:rsid w:val="00641A1F"/>
    <w:rsid w:val="00645904"/>
    <w:rsid w:val="0065014B"/>
    <w:rsid w:val="0065055C"/>
    <w:rsid w:val="00651ACB"/>
    <w:rsid w:val="00651C47"/>
    <w:rsid w:val="00652AB2"/>
    <w:rsid w:val="00653FED"/>
    <w:rsid w:val="00654776"/>
    <w:rsid w:val="00654EC0"/>
    <w:rsid w:val="0065525B"/>
    <w:rsid w:val="00655D4F"/>
    <w:rsid w:val="00656D29"/>
    <w:rsid w:val="006640E5"/>
    <w:rsid w:val="006646F1"/>
    <w:rsid w:val="00664929"/>
    <w:rsid w:val="00664F62"/>
    <w:rsid w:val="006655E1"/>
    <w:rsid w:val="00671FF6"/>
    <w:rsid w:val="00672060"/>
    <w:rsid w:val="00672BFD"/>
    <w:rsid w:val="006770F4"/>
    <w:rsid w:val="006777A7"/>
    <w:rsid w:val="00677A84"/>
    <w:rsid w:val="0068026D"/>
    <w:rsid w:val="00680A27"/>
    <w:rsid w:val="006816A4"/>
    <w:rsid w:val="006819B8"/>
    <w:rsid w:val="00681F7F"/>
    <w:rsid w:val="006840A6"/>
    <w:rsid w:val="006850CD"/>
    <w:rsid w:val="00685AAB"/>
    <w:rsid w:val="00695D22"/>
    <w:rsid w:val="006A07AA"/>
    <w:rsid w:val="006A25E5"/>
    <w:rsid w:val="006A2B46"/>
    <w:rsid w:val="006A336D"/>
    <w:rsid w:val="006A37B9"/>
    <w:rsid w:val="006B2672"/>
    <w:rsid w:val="006B2BAE"/>
    <w:rsid w:val="006B54BF"/>
    <w:rsid w:val="006B5F44"/>
    <w:rsid w:val="006B5F90"/>
    <w:rsid w:val="006B62E4"/>
    <w:rsid w:val="006C1BBA"/>
    <w:rsid w:val="006C2079"/>
    <w:rsid w:val="006C5A62"/>
    <w:rsid w:val="006C5D68"/>
    <w:rsid w:val="006C6976"/>
    <w:rsid w:val="006C6DD0"/>
    <w:rsid w:val="006D0308"/>
    <w:rsid w:val="006D04EA"/>
    <w:rsid w:val="006D16C4"/>
    <w:rsid w:val="006D3E96"/>
    <w:rsid w:val="006D4515"/>
    <w:rsid w:val="006D4BB1"/>
    <w:rsid w:val="006D6593"/>
    <w:rsid w:val="006D7D17"/>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083"/>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4E63"/>
    <w:rsid w:val="00776599"/>
    <w:rsid w:val="0078114B"/>
    <w:rsid w:val="00781DD2"/>
    <w:rsid w:val="00783ECF"/>
    <w:rsid w:val="0078413A"/>
    <w:rsid w:val="00787C90"/>
    <w:rsid w:val="00791992"/>
    <w:rsid w:val="007959E8"/>
    <w:rsid w:val="00795E9C"/>
    <w:rsid w:val="007A0521"/>
    <w:rsid w:val="007A2E12"/>
    <w:rsid w:val="007A3475"/>
    <w:rsid w:val="007A41C8"/>
    <w:rsid w:val="007A54CE"/>
    <w:rsid w:val="007A6D4C"/>
    <w:rsid w:val="007A6FD9"/>
    <w:rsid w:val="007A7FFA"/>
    <w:rsid w:val="007B04EB"/>
    <w:rsid w:val="007B0D4F"/>
    <w:rsid w:val="007B47D7"/>
    <w:rsid w:val="007B5A3D"/>
    <w:rsid w:val="007B5B95"/>
    <w:rsid w:val="007B68EA"/>
    <w:rsid w:val="007B6B19"/>
    <w:rsid w:val="007B7453"/>
    <w:rsid w:val="007C05D4"/>
    <w:rsid w:val="007C05F4"/>
    <w:rsid w:val="007C1E8B"/>
    <w:rsid w:val="007C2D89"/>
    <w:rsid w:val="007C4593"/>
    <w:rsid w:val="007C4CA9"/>
    <w:rsid w:val="007C5309"/>
    <w:rsid w:val="007C6069"/>
    <w:rsid w:val="007D06C4"/>
    <w:rsid w:val="007D1352"/>
    <w:rsid w:val="007D2508"/>
    <w:rsid w:val="007D346A"/>
    <w:rsid w:val="007D3EED"/>
    <w:rsid w:val="007D6518"/>
    <w:rsid w:val="007D76BD"/>
    <w:rsid w:val="007E0BF1"/>
    <w:rsid w:val="007F0ED8"/>
    <w:rsid w:val="007F0F63"/>
    <w:rsid w:val="007F405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23D"/>
    <w:rsid w:val="00842A47"/>
    <w:rsid w:val="00843C13"/>
    <w:rsid w:val="008454F8"/>
    <w:rsid w:val="008474E8"/>
    <w:rsid w:val="00847915"/>
    <w:rsid w:val="0085173A"/>
    <w:rsid w:val="00853137"/>
    <w:rsid w:val="008544CD"/>
    <w:rsid w:val="00856316"/>
    <w:rsid w:val="008603CE"/>
    <w:rsid w:val="008620FC"/>
    <w:rsid w:val="008627A5"/>
    <w:rsid w:val="00863E05"/>
    <w:rsid w:val="00865ACA"/>
    <w:rsid w:val="00865D28"/>
    <w:rsid w:val="00865F85"/>
    <w:rsid w:val="00867C10"/>
    <w:rsid w:val="00870439"/>
    <w:rsid w:val="00870DA1"/>
    <w:rsid w:val="0088167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A65"/>
    <w:rsid w:val="008A1893"/>
    <w:rsid w:val="008A3215"/>
    <w:rsid w:val="008A4FD8"/>
    <w:rsid w:val="008A57E6"/>
    <w:rsid w:val="008A6F81"/>
    <w:rsid w:val="008A769A"/>
    <w:rsid w:val="008B079B"/>
    <w:rsid w:val="008B0C9C"/>
    <w:rsid w:val="008B13C0"/>
    <w:rsid w:val="008B166D"/>
    <w:rsid w:val="008B17F4"/>
    <w:rsid w:val="008B3615"/>
    <w:rsid w:val="008B4AC4"/>
    <w:rsid w:val="008B50C8"/>
    <w:rsid w:val="008B5281"/>
    <w:rsid w:val="008B7E05"/>
    <w:rsid w:val="008C1797"/>
    <w:rsid w:val="008C219C"/>
    <w:rsid w:val="008C475E"/>
    <w:rsid w:val="008C619A"/>
    <w:rsid w:val="008C71A7"/>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CCE"/>
    <w:rsid w:val="0090496A"/>
    <w:rsid w:val="009062E6"/>
    <w:rsid w:val="00911BE5"/>
    <w:rsid w:val="0091302C"/>
    <w:rsid w:val="00913CA9"/>
    <w:rsid w:val="009145AE"/>
    <w:rsid w:val="009146CE"/>
    <w:rsid w:val="00914CA7"/>
    <w:rsid w:val="00915C3E"/>
    <w:rsid w:val="009161A8"/>
    <w:rsid w:val="0092225B"/>
    <w:rsid w:val="009245F5"/>
    <w:rsid w:val="009249EC"/>
    <w:rsid w:val="00925274"/>
    <w:rsid w:val="009273B3"/>
    <w:rsid w:val="009305B5"/>
    <w:rsid w:val="009429D5"/>
    <w:rsid w:val="00942BF1"/>
    <w:rsid w:val="00945180"/>
    <w:rsid w:val="00945428"/>
    <w:rsid w:val="0094607B"/>
    <w:rsid w:val="00953114"/>
    <w:rsid w:val="00953246"/>
    <w:rsid w:val="00953604"/>
    <w:rsid w:val="0095496B"/>
    <w:rsid w:val="009610DC"/>
    <w:rsid w:val="00961490"/>
    <w:rsid w:val="0096381A"/>
    <w:rsid w:val="00965E04"/>
    <w:rsid w:val="009674AD"/>
    <w:rsid w:val="00970CDC"/>
    <w:rsid w:val="00977010"/>
    <w:rsid w:val="00977D02"/>
    <w:rsid w:val="009809BB"/>
    <w:rsid w:val="0098364B"/>
    <w:rsid w:val="0098527B"/>
    <w:rsid w:val="00987B4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EC1"/>
    <w:rsid w:val="009B6029"/>
    <w:rsid w:val="009B6971"/>
    <w:rsid w:val="009C27F1"/>
    <w:rsid w:val="009C3152"/>
    <w:rsid w:val="009C4CFA"/>
    <w:rsid w:val="009C5070"/>
    <w:rsid w:val="009C5CA8"/>
    <w:rsid w:val="009D112C"/>
    <w:rsid w:val="009D47FA"/>
    <w:rsid w:val="009D4C5B"/>
    <w:rsid w:val="009D50D2"/>
    <w:rsid w:val="009D644B"/>
    <w:rsid w:val="009D6BCA"/>
    <w:rsid w:val="009E0F62"/>
    <w:rsid w:val="009E4675"/>
    <w:rsid w:val="009E4A58"/>
    <w:rsid w:val="009E5A2D"/>
    <w:rsid w:val="009E5AB2"/>
    <w:rsid w:val="009E6219"/>
    <w:rsid w:val="009F0265"/>
    <w:rsid w:val="009F03B3"/>
    <w:rsid w:val="009F786D"/>
    <w:rsid w:val="00A0096C"/>
    <w:rsid w:val="00A00A78"/>
    <w:rsid w:val="00A01757"/>
    <w:rsid w:val="00A028C0"/>
    <w:rsid w:val="00A02BAE"/>
    <w:rsid w:val="00A069A4"/>
    <w:rsid w:val="00A06A6B"/>
    <w:rsid w:val="00A07E47"/>
    <w:rsid w:val="00A10833"/>
    <w:rsid w:val="00A129D0"/>
    <w:rsid w:val="00A12C33"/>
    <w:rsid w:val="00A138BA"/>
    <w:rsid w:val="00A14C8E"/>
    <w:rsid w:val="00A153D9"/>
    <w:rsid w:val="00A15AC3"/>
    <w:rsid w:val="00A15F09"/>
    <w:rsid w:val="00A1659A"/>
    <w:rsid w:val="00A169B6"/>
    <w:rsid w:val="00A2271D"/>
    <w:rsid w:val="00A2313E"/>
    <w:rsid w:val="00A237D5"/>
    <w:rsid w:val="00A30EFC"/>
    <w:rsid w:val="00A31984"/>
    <w:rsid w:val="00A32D73"/>
    <w:rsid w:val="00A3367B"/>
    <w:rsid w:val="00A34E68"/>
    <w:rsid w:val="00A350A5"/>
    <w:rsid w:val="00A3597D"/>
    <w:rsid w:val="00A36DD1"/>
    <w:rsid w:val="00A378FC"/>
    <w:rsid w:val="00A3790C"/>
    <w:rsid w:val="00A4006C"/>
    <w:rsid w:val="00A40091"/>
    <w:rsid w:val="00A4030F"/>
    <w:rsid w:val="00A41C79"/>
    <w:rsid w:val="00A41CB5"/>
    <w:rsid w:val="00A42CDF"/>
    <w:rsid w:val="00A4452E"/>
    <w:rsid w:val="00A4472C"/>
    <w:rsid w:val="00A44E69"/>
    <w:rsid w:val="00A4661E"/>
    <w:rsid w:val="00A55BD6"/>
    <w:rsid w:val="00A55D50"/>
    <w:rsid w:val="00A57142"/>
    <w:rsid w:val="00A62977"/>
    <w:rsid w:val="00A63F04"/>
    <w:rsid w:val="00A648CD"/>
    <w:rsid w:val="00A6537A"/>
    <w:rsid w:val="00A67866"/>
    <w:rsid w:val="00A70B07"/>
    <w:rsid w:val="00A723F8"/>
    <w:rsid w:val="00A75E7F"/>
    <w:rsid w:val="00A77CCB"/>
    <w:rsid w:val="00A81D4C"/>
    <w:rsid w:val="00A83D8D"/>
    <w:rsid w:val="00A8446B"/>
    <w:rsid w:val="00A8473F"/>
    <w:rsid w:val="00A84B1D"/>
    <w:rsid w:val="00A862D6"/>
    <w:rsid w:val="00A8715E"/>
    <w:rsid w:val="00A9295B"/>
    <w:rsid w:val="00A93B09"/>
    <w:rsid w:val="00A94247"/>
    <w:rsid w:val="00A952D7"/>
    <w:rsid w:val="00A963F7"/>
    <w:rsid w:val="00A96AD8"/>
    <w:rsid w:val="00A96C5B"/>
    <w:rsid w:val="00AA052C"/>
    <w:rsid w:val="00AA1190"/>
    <w:rsid w:val="00AA1E45"/>
    <w:rsid w:val="00AA4286"/>
    <w:rsid w:val="00AA456B"/>
    <w:rsid w:val="00AA57F5"/>
    <w:rsid w:val="00AA672E"/>
    <w:rsid w:val="00AA6EC9"/>
    <w:rsid w:val="00AB41D5"/>
    <w:rsid w:val="00AB6309"/>
    <w:rsid w:val="00AB6C5F"/>
    <w:rsid w:val="00AB6E89"/>
    <w:rsid w:val="00AB7129"/>
    <w:rsid w:val="00AC27A6"/>
    <w:rsid w:val="00AC30F7"/>
    <w:rsid w:val="00AC3A5A"/>
    <w:rsid w:val="00AC4D95"/>
    <w:rsid w:val="00AC5DF4"/>
    <w:rsid w:val="00AD0AEF"/>
    <w:rsid w:val="00AD11B7"/>
    <w:rsid w:val="00AD1A94"/>
    <w:rsid w:val="00AD1C05"/>
    <w:rsid w:val="00AD4126"/>
    <w:rsid w:val="00AD421C"/>
    <w:rsid w:val="00AD44FA"/>
    <w:rsid w:val="00AD5BC5"/>
    <w:rsid w:val="00AE0182"/>
    <w:rsid w:val="00AE070A"/>
    <w:rsid w:val="00AE101C"/>
    <w:rsid w:val="00AE37E5"/>
    <w:rsid w:val="00AE5EB4"/>
    <w:rsid w:val="00AF0C18"/>
    <w:rsid w:val="00AF47C5"/>
    <w:rsid w:val="00AF5398"/>
    <w:rsid w:val="00B03341"/>
    <w:rsid w:val="00B049AF"/>
    <w:rsid w:val="00B07242"/>
    <w:rsid w:val="00B10534"/>
    <w:rsid w:val="00B113DB"/>
    <w:rsid w:val="00B11D8A"/>
    <w:rsid w:val="00B12981"/>
    <w:rsid w:val="00B147DD"/>
    <w:rsid w:val="00B156FD"/>
    <w:rsid w:val="00B21F61"/>
    <w:rsid w:val="00B2445C"/>
    <w:rsid w:val="00B261F1"/>
    <w:rsid w:val="00B265BC"/>
    <w:rsid w:val="00B31FB1"/>
    <w:rsid w:val="00B33952"/>
    <w:rsid w:val="00B33C5E"/>
    <w:rsid w:val="00B342F4"/>
    <w:rsid w:val="00B34369"/>
    <w:rsid w:val="00B34DC2"/>
    <w:rsid w:val="00B378E5"/>
    <w:rsid w:val="00B37F90"/>
    <w:rsid w:val="00B40309"/>
    <w:rsid w:val="00B4303C"/>
    <w:rsid w:val="00B4346D"/>
    <w:rsid w:val="00B440F4"/>
    <w:rsid w:val="00B447A5"/>
    <w:rsid w:val="00B452A7"/>
    <w:rsid w:val="00B4654C"/>
    <w:rsid w:val="00B47293"/>
    <w:rsid w:val="00B503D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15F9"/>
    <w:rsid w:val="00B8169F"/>
    <w:rsid w:val="00B827A6"/>
    <w:rsid w:val="00B831CE"/>
    <w:rsid w:val="00B84B1B"/>
    <w:rsid w:val="00B85918"/>
    <w:rsid w:val="00B86677"/>
    <w:rsid w:val="00B87131"/>
    <w:rsid w:val="00B939B1"/>
    <w:rsid w:val="00B96D40"/>
    <w:rsid w:val="00B97386"/>
    <w:rsid w:val="00BA16A4"/>
    <w:rsid w:val="00BA263B"/>
    <w:rsid w:val="00BA42AD"/>
    <w:rsid w:val="00BA42B2"/>
    <w:rsid w:val="00BA47DD"/>
    <w:rsid w:val="00BA58D4"/>
    <w:rsid w:val="00BA5B9E"/>
    <w:rsid w:val="00BA7C9A"/>
    <w:rsid w:val="00BB5F8F"/>
    <w:rsid w:val="00BB657A"/>
    <w:rsid w:val="00BB7113"/>
    <w:rsid w:val="00BB7357"/>
    <w:rsid w:val="00BC1A4E"/>
    <w:rsid w:val="00BC5DC7"/>
    <w:rsid w:val="00BC6B8B"/>
    <w:rsid w:val="00BC73D8"/>
    <w:rsid w:val="00BD0C8E"/>
    <w:rsid w:val="00BD52D7"/>
    <w:rsid w:val="00BD5AD2"/>
    <w:rsid w:val="00BE22F3"/>
    <w:rsid w:val="00BE5B52"/>
    <w:rsid w:val="00BE6156"/>
    <w:rsid w:val="00BE7B8D"/>
    <w:rsid w:val="00BF0993"/>
    <w:rsid w:val="00BF10A9"/>
    <w:rsid w:val="00BF1703"/>
    <w:rsid w:val="00BF231C"/>
    <w:rsid w:val="00BF51E5"/>
    <w:rsid w:val="00BF74A6"/>
    <w:rsid w:val="00C013AD"/>
    <w:rsid w:val="00C04904"/>
    <w:rsid w:val="00C051CF"/>
    <w:rsid w:val="00C056B3"/>
    <w:rsid w:val="00C07CC8"/>
    <w:rsid w:val="00C103E5"/>
    <w:rsid w:val="00C11033"/>
    <w:rsid w:val="00C13319"/>
    <w:rsid w:val="00C13EE9"/>
    <w:rsid w:val="00C15431"/>
    <w:rsid w:val="00C16B24"/>
    <w:rsid w:val="00C17399"/>
    <w:rsid w:val="00C20155"/>
    <w:rsid w:val="00C21540"/>
    <w:rsid w:val="00C21906"/>
    <w:rsid w:val="00C21BFA"/>
    <w:rsid w:val="00C22148"/>
    <w:rsid w:val="00C24C8D"/>
    <w:rsid w:val="00C25FE2"/>
    <w:rsid w:val="00C26B53"/>
    <w:rsid w:val="00C279B2"/>
    <w:rsid w:val="00C31481"/>
    <w:rsid w:val="00C33E50"/>
    <w:rsid w:val="00C34C20"/>
    <w:rsid w:val="00C35A3E"/>
    <w:rsid w:val="00C36149"/>
    <w:rsid w:val="00C42130"/>
    <w:rsid w:val="00C423A4"/>
    <w:rsid w:val="00C44BF5"/>
    <w:rsid w:val="00C47D13"/>
    <w:rsid w:val="00C521D6"/>
    <w:rsid w:val="00C55232"/>
    <w:rsid w:val="00C553A4"/>
    <w:rsid w:val="00C55A06"/>
    <w:rsid w:val="00C55D03"/>
    <w:rsid w:val="00C601BC"/>
    <w:rsid w:val="00C6329F"/>
    <w:rsid w:val="00C63340"/>
    <w:rsid w:val="00C643F9"/>
    <w:rsid w:val="00C64E95"/>
    <w:rsid w:val="00C66AD8"/>
    <w:rsid w:val="00C71372"/>
    <w:rsid w:val="00C72410"/>
    <w:rsid w:val="00C7287F"/>
    <w:rsid w:val="00C80CB8"/>
    <w:rsid w:val="00C819F8"/>
    <w:rsid w:val="00C8248C"/>
    <w:rsid w:val="00C836F1"/>
    <w:rsid w:val="00C84E33"/>
    <w:rsid w:val="00C86D6F"/>
    <w:rsid w:val="00C905FC"/>
    <w:rsid w:val="00C92574"/>
    <w:rsid w:val="00C92D03"/>
    <w:rsid w:val="00C9319C"/>
    <w:rsid w:val="00C93A7D"/>
    <w:rsid w:val="00C9435D"/>
    <w:rsid w:val="00C94DF2"/>
    <w:rsid w:val="00C96741"/>
    <w:rsid w:val="00CA2D1B"/>
    <w:rsid w:val="00CA375D"/>
    <w:rsid w:val="00CA662A"/>
    <w:rsid w:val="00CA7AFD"/>
    <w:rsid w:val="00CA7C3C"/>
    <w:rsid w:val="00CB0189"/>
    <w:rsid w:val="00CB0BA2"/>
    <w:rsid w:val="00CB1A42"/>
    <w:rsid w:val="00CB1B0C"/>
    <w:rsid w:val="00CB1D7D"/>
    <w:rsid w:val="00CB2C0B"/>
    <w:rsid w:val="00CB517D"/>
    <w:rsid w:val="00CC038D"/>
    <w:rsid w:val="00CC08DB"/>
    <w:rsid w:val="00CC39FF"/>
    <w:rsid w:val="00CC3C2F"/>
    <w:rsid w:val="00CC4AC8"/>
    <w:rsid w:val="00CC5233"/>
    <w:rsid w:val="00CC53B8"/>
    <w:rsid w:val="00CC5DE6"/>
    <w:rsid w:val="00CC6E4E"/>
    <w:rsid w:val="00CC6FE8"/>
    <w:rsid w:val="00CC7202"/>
    <w:rsid w:val="00CD0684"/>
    <w:rsid w:val="00CD27A4"/>
    <w:rsid w:val="00CD2808"/>
    <w:rsid w:val="00CD28BF"/>
    <w:rsid w:val="00CD4092"/>
    <w:rsid w:val="00CD4A20"/>
    <w:rsid w:val="00CD50A1"/>
    <w:rsid w:val="00CD519E"/>
    <w:rsid w:val="00CE0C4F"/>
    <w:rsid w:val="00CE2A39"/>
    <w:rsid w:val="00CE30EA"/>
    <w:rsid w:val="00CF048A"/>
    <w:rsid w:val="00CF155A"/>
    <w:rsid w:val="00CF2947"/>
    <w:rsid w:val="00CF393F"/>
    <w:rsid w:val="00CF686F"/>
    <w:rsid w:val="00CF6E60"/>
    <w:rsid w:val="00CF7BCA"/>
    <w:rsid w:val="00D008FD"/>
    <w:rsid w:val="00D01917"/>
    <w:rsid w:val="00D0214C"/>
    <w:rsid w:val="00D0321C"/>
    <w:rsid w:val="00D035EC"/>
    <w:rsid w:val="00D06AB1"/>
    <w:rsid w:val="00D072ED"/>
    <w:rsid w:val="00D07A16"/>
    <w:rsid w:val="00D1067E"/>
    <w:rsid w:val="00D10F50"/>
    <w:rsid w:val="00D11272"/>
    <w:rsid w:val="00D126F5"/>
    <w:rsid w:val="00D1324C"/>
    <w:rsid w:val="00D1489E"/>
    <w:rsid w:val="00D14926"/>
    <w:rsid w:val="00D20737"/>
    <w:rsid w:val="00D21E81"/>
    <w:rsid w:val="00D223DE"/>
    <w:rsid w:val="00D25E37"/>
    <w:rsid w:val="00D2661A"/>
    <w:rsid w:val="00D26EA0"/>
    <w:rsid w:val="00D27582"/>
    <w:rsid w:val="00D27EC4"/>
    <w:rsid w:val="00D32719"/>
    <w:rsid w:val="00D33333"/>
    <w:rsid w:val="00D33457"/>
    <w:rsid w:val="00D352A2"/>
    <w:rsid w:val="00D363F0"/>
    <w:rsid w:val="00D4162B"/>
    <w:rsid w:val="00D4514F"/>
    <w:rsid w:val="00D451E2"/>
    <w:rsid w:val="00D45E89"/>
    <w:rsid w:val="00D45E8D"/>
    <w:rsid w:val="00D45F7C"/>
    <w:rsid w:val="00D466AE"/>
    <w:rsid w:val="00D4734F"/>
    <w:rsid w:val="00D51BF3"/>
    <w:rsid w:val="00D546BA"/>
    <w:rsid w:val="00D66846"/>
    <w:rsid w:val="00D675FB"/>
    <w:rsid w:val="00D70226"/>
    <w:rsid w:val="00D71F25"/>
    <w:rsid w:val="00D72518"/>
    <w:rsid w:val="00D72A9C"/>
    <w:rsid w:val="00D76FFD"/>
    <w:rsid w:val="00D77031"/>
    <w:rsid w:val="00D82057"/>
    <w:rsid w:val="00D83A2D"/>
    <w:rsid w:val="00D84941"/>
    <w:rsid w:val="00D84FA1"/>
    <w:rsid w:val="00D851F0"/>
    <w:rsid w:val="00D86DB7"/>
    <w:rsid w:val="00D926D0"/>
    <w:rsid w:val="00D93030"/>
    <w:rsid w:val="00D94687"/>
    <w:rsid w:val="00D950E1"/>
    <w:rsid w:val="00D952A6"/>
    <w:rsid w:val="00D977AE"/>
    <w:rsid w:val="00D97F99"/>
    <w:rsid w:val="00DA1E08"/>
    <w:rsid w:val="00DA24F8"/>
    <w:rsid w:val="00DA28E8"/>
    <w:rsid w:val="00DA38D3"/>
    <w:rsid w:val="00DA3932"/>
    <w:rsid w:val="00DA3AFC"/>
    <w:rsid w:val="00DA64F8"/>
    <w:rsid w:val="00DA6C15"/>
    <w:rsid w:val="00DB0258"/>
    <w:rsid w:val="00DB38EE"/>
    <w:rsid w:val="00DB4299"/>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19F"/>
    <w:rsid w:val="00E06404"/>
    <w:rsid w:val="00E079A9"/>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7F1"/>
    <w:rsid w:val="00E56800"/>
    <w:rsid w:val="00E56D4F"/>
    <w:rsid w:val="00E60C63"/>
    <w:rsid w:val="00E62FF9"/>
    <w:rsid w:val="00E635D6"/>
    <w:rsid w:val="00E639BC"/>
    <w:rsid w:val="00E63FC4"/>
    <w:rsid w:val="00E664CC"/>
    <w:rsid w:val="00E70388"/>
    <w:rsid w:val="00E7060B"/>
    <w:rsid w:val="00E70F92"/>
    <w:rsid w:val="00E73710"/>
    <w:rsid w:val="00E74C54"/>
    <w:rsid w:val="00E758F6"/>
    <w:rsid w:val="00E77A03"/>
    <w:rsid w:val="00E80FD8"/>
    <w:rsid w:val="00E822E8"/>
    <w:rsid w:val="00E82554"/>
    <w:rsid w:val="00E82606"/>
    <w:rsid w:val="00E846C8"/>
    <w:rsid w:val="00E84763"/>
    <w:rsid w:val="00E84957"/>
    <w:rsid w:val="00E84A55"/>
    <w:rsid w:val="00E85BFF"/>
    <w:rsid w:val="00E90391"/>
    <w:rsid w:val="00E906C2"/>
    <w:rsid w:val="00E9311F"/>
    <w:rsid w:val="00E934D1"/>
    <w:rsid w:val="00E942C6"/>
    <w:rsid w:val="00E943A5"/>
    <w:rsid w:val="00E94AF0"/>
    <w:rsid w:val="00E94C89"/>
    <w:rsid w:val="00E95D13"/>
    <w:rsid w:val="00E95DD3"/>
    <w:rsid w:val="00E969D5"/>
    <w:rsid w:val="00EA1001"/>
    <w:rsid w:val="00EA58D1"/>
    <w:rsid w:val="00EA61BC"/>
    <w:rsid w:val="00EA681A"/>
    <w:rsid w:val="00EA735B"/>
    <w:rsid w:val="00EB17DE"/>
    <w:rsid w:val="00EB1E69"/>
    <w:rsid w:val="00EB2086"/>
    <w:rsid w:val="00EB4E51"/>
    <w:rsid w:val="00EB5EDF"/>
    <w:rsid w:val="00EB60FE"/>
    <w:rsid w:val="00EB74DB"/>
    <w:rsid w:val="00EC4FFB"/>
    <w:rsid w:val="00EC5359"/>
    <w:rsid w:val="00EC562A"/>
    <w:rsid w:val="00ED067A"/>
    <w:rsid w:val="00ED20A3"/>
    <w:rsid w:val="00ED2B50"/>
    <w:rsid w:val="00ED352F"/>
    <w:rsid w:val="00EE0350"/>
    <w:rsid w:val="00EE0719"/>
    <w:rsid w:val="00EE0E80"/>
    <w:rsid w:val="00EE3697"/>
    <w:rsid w:val="00EE54A6"/>
    <w:rsid w:val="00EE551B"/>
    <w:rsid w:val="00EE613F"/>
    <w:rsid w:val="00EE7295"/>
    <w:rsid w:val="00EE7781"/>
    <w:rsid w:val="00EE7869"/>
    <w:rsid w:val="00EF002B"/>
    <w:rsid w:val="00EF054A"/>
    <w:rsid w:val="00EF3235"/>
    <w:rsid w:val="00EF3F06"/>
    <w:rsid w:val="00EF7E72"/>
    <w:rsid w:val="00F06D37"/>
    <w:rsid w:val="00F07B9D"/>
    <w:rsid w:val="00F108FF"/>
    <w:rsid w:val="00F11506"/>
    <w:rsid w:val="00F11586"/>
    <w:rsid w:val="00F1183B"/>
    <w:rsid w:val="00F11C9F"/>
    <w:rsid w:val="00F12263"/>
    <w:rsid w:val="00F1409D"/>
    <w:rsid w:val="00F14214"/>
    <w:rsid w:val="00F157A9"/>
    <w:rsid w:val="00F16EA4"/>
    <w:rsid w:val="00F25BB6"/>
    <w:rsid w:val="00F26B7E"/>
    <w:rsid w:val="00F27A3B"/>
    <w:rsid w:val="00F33817"/>
    <w:rsid w:val="00F40CC4"/>
    <w:rsid w:val="00F412BD"/>
    <w:rsid w:val="00F420D5"/>
    <w:rsid w:val="00F451EA"/>
    <w:rsid w:val="00F45447"/>
    <w:rsid w:val="00F456C6"/>
    <w:rsid w:val="00F4577B"/>
    <w:rsid w:val="00F46496"/>
    <w:rsid w:val="00F474D0"/>
    <w:rsid w:val="00F50179"/>
    <w:rsid w:val="00F515EE"/>
    <w:rsid w:val="00F54CB2"/>
    <w:rsid w:val="00F55200"/>
    <w:rsid w:val="00F5553A"/>
    <w:rsid w:val="00F56511"/>
    <w:rsid w:val="00F6194E"/>
    <w:rsid w:val="00F61DF6"/>
    <w:rsid w:val="00F61E2E"/>
    <w:rsid w:val="00F623AC"/>
    <w:rsid w:val="00F6412A"/>
    <w:rsid w:val="00F65893"/>
    <w:rsid w:val="00F66A4A"/>
    <w:rsid w:val="00F71E22"/>
    <w:rsid w:val="00F72142"/>
    <w:rsid w:val="00F72AE7"/>
    <w:rsid w:val="00F72D38"/>
    <w:rsid w:val="00F75735"/>
    <w:rsid w:val="00F81141"/>
    <w:rsid w:val="00F833BA"/>
    <w:rsid w:val="00F84FD0"/>
    <w:rsid w:val="00F859A8"/>
    <w:rsid w:val="00F86D87"/>
    <w:rsid w:val="00F87373"/>
    <w:rsid w:val="00F9108B"/>
    <w:rsid w:val="00F91349"/>
    <w:rsid w:val="00F93A8A"/>
    <w:rsid w:val="00F95248"/>
    <w:rsid w:val="00F956A9"/>
    <w:rsid w:val="00F963ED"/>
    <w:rsid w:val="00F966CF"/>
    <w:rsid w:val="00F96CAE"/>
    <w:rsid w:val="00F97C99"/>
    <w:rsid w:val="00FA0AA2"/>
    <w:rsid w:val="00FA4DAC"/>
    <w:rsid w:val="00FA662D"/>
    <w:rsid w:val="00FA73B1"/>
    <w:rsid w:val="00FB0CB9"/>
    <w:rsid w:val="00FB231D"/>
    <w:rsid w:val="00FB34E2"/>
    <w:rsid w:val="00FB45F1"/>
    <w:rsid w:val="00FB4A72"/>
    <w:rsid w:val="00FB54E8"/>
    <w:rsid w:val="00FB7054"/>
    <w:rsid w:val="00FC0CAA"/>
    <w:rsid w:val="00FC17B7"/>
    <w:rsid w:val="00FC2CB7"/>
    <w:rsid w:val="00FC4090"/>
    <w:rsid w:val="00FC55B4"/>
    <w:rsid w:val="00FD00E6"/>
    <w:rsid w:val="00FD09A1"/>
    <w:rsid w:val="00FD2A7C"/>
    <w:rsid w:val="00FD3861"/>
    <w:rsid w:val="00FD59EB"/>
    <w:rsid w:val="00FD675A"/>
    <w:rsid w:val="00FD7299"/>
    <w:rsid w:val="00FD7B97"/>
    <w:rsid w:val="00FE0436"/>
    <w:rsid w:val="00FE1FBE"/>
    <w:rsid w:val="00FE2BD9"/>
    <w:rsid w:val="00FE3901"/>
    <w:rsid w:val="00FE39D3"/>
    <w:rsid w:val="00FE4BCE"/>
    <w:rsid w:val="00FE54AE"/>
    <w:rsid w:val="00FE576A"/>
    <w:rsid w:val="00FE7E79"/>
    <w:rsid w:val="00FF3E7D"/>
    <w:rsid w:val="00FF5B99"/>
    <w:rsid w:val="00FF730C"/>
    <w:rsid w:val="00FF73F4"/>
    <w:rsid w:val="00FF7CE4"/>
    <w:rsid w:val="00FF7E39"/>
    <w:rsid w:val="036215E3"/>
    <w:rsid w:val="055406CA"/>
    <w:rsid w:val="07DE6FC6"/>
    <w:rsid w:val="0BA648D7"/>
    <w:rsid w:val="0D5A25F6"/>
    <w:rsid w:val="103560C1"/>
    <w:rsid w:val="1E27608E"/>
    <w:rsid w:val="1F5129C4"/>
    <w:rsid w:val="216008F7"/>
    <w:rsid w:val="2AFA28CA"/>
    <w:rsid w:val="2DC8392C"/>
    <w:rsid w:val="2F5F1916"/>
    <w:rsid w:val="36960090"/>
    <w:rsid w:val="385D7B72"/>
    <w:rsid w:val="3B6D7E7E"/>
    <w:rsid w:val="3EF602E8"/>
    <w:rsid w:val="49E14F29"/>
    <w:rsid w:val="4CC063FA"/>
    <w:rsid w:val="4CC41F01"/>
    <w:rsid w:val="528A7837"/>
    <w:rsid w:val="55311752"/>
    <w:rsid w:val="5572469F"/>
    <w:rsid w:val="561A1EEF"/>
    <w:rsid w:val="59630636"/>
    <w:rsid w:val="5D2F5A22"/>
    <w:rsid w:val="5DBF0E76"/>
    <w:rsid w:val="5DE339D9"/>
    <w:rsid w:val="60796EF2"/>
    <w:rsid w:val="63316ACA"/>
    <w:rsid w:val="6368244F"/>
    <w:rsid w:val="6F484F7F"/>
    <w:rsid w:val="70127619"/>
    <w:rsid w:val="795256CE"/>
    <w:rsid w:val="79935991"/>
    <w:rsid w:val="7DA737B9"/>
    <w:rsid w:val="7F902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6"/>
    <w:qFormat/>
    <w:uiPriority w:val="0"/>
    <w:pPr>
      <w:keepNext/>
      <w:keepLines/>
      <w:spacing w:before="260" w:after="260" w:line="416" w:lineRule="auto"/>
      <w:outlineLvl w:val="2"/>
    </w:pPr>
    <w:rPr>
      <w:b/>
      <w:bCs/>
      <w:sz w:val="32"/>
      <w:szCs w:val="32"/>
    </w:rPr>
  </w:style>
  <w:style w:type="paragraph" w:styleId="6">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6"/>
    <w:qFormat/>
    <w:uiPriority w:val="0"/>
    <w:pPr>
      <w:spacing w:after="120"/>
    </w:p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3"/>
    <w:qFormat/>
    <w:uiPriority w:val="0"/>
    <w:rPr>
      <w:rFonts w:ascii="Times New Roman" w:hAnsi="Times New Roman" w:eastAsia="宋体" w:cs="Times New Roman"/>
      <w:b/>
      <w:bCs/>
      <w:kern w:val="44"/>
      <w:sz w:val="44"/>
      <w:szCs w:val="44"/>
    </w:rPr>
  </w:style>
  <w:style w:type="character" w:customStyle="1" w:styleId="35">
    <w:name w:val="标题 2 字符"/>
    <w:link w:val="4"/>
    <w:qFormat/>
    <w:uiPriority w:val="0"/>
    <w:rPr>
      <w:rFonts w:ascii="Arial" w:hAnsi="Arial" w:eastAsia="黑体" w:cs="Times New Roman"/>
      <w:b/>
      <w:bCs/>
      <w:sz w:val="32"/>
      <w:szCs w:val="32"/>
    </w:rPr>
  </w:style>
  <w:style w:type="character" w:customStyle="1" w:styleId="36">
    <w:name w:val="标题 3 字符"/>
    <w:link w:val="5"/>
    <w:qFormat/>
    <w:uiPriority w:val="0"/>
    <w:rPr>
      <w:rFonts w:ascii="Times New Roman" w:hAnsi="Times New Roman" w:eastAsia="宋体" w:cs="Times New Roman"/>
      <w:b/>
      <w:bCs/>
      <w:sz w:val="32"/>
      <w:szCs w:val="32"/>
    </w:rPr>
  </w:style>
  <w:style w:type="character" w:customStyle="1" w:styleId="37">
    <w:name w:val="标题 4 字符"/>
    <w:link w:val="6"/>
    <w:qFormat/>
    <w:uiPriority w:val="0"/>
    <w:rPr>
      <w:rFonts w:ascii="Arial" w:hAnsi="Arial" w:eastAsia="黑体" w:cs="Times New Roman"/>
      <w:b/>
      <w:bCs/>
      <w:sz w:val="28"/>
      <w:szCs w:val="28"/>
    </w:rPr>
  </w:style>
  <w:style w:type="character" w:customStyle="1" w:styleId="38">
    <w:name w:val="标题 5 字符"/>
    <w:link w:val="7"/>
    <w:qFormat/>
    <w:uiPriority w:val="0"/>
    <w:rPr>
      <w:rFonts w:ascii="Times New Roman" w:hAnsi="Times New Roman" w:eastAsia="宋体" w:cs="Times New Roman"/>
      <w:b/>
      <w:bCs/>
      <w:sz w:val="28"/>
      <w:szCs w:val="28"/>
    </w:rPr>
  </w:style>
  <w:style w:type="character" w:customStyle="1" w:styleId="39">
    <w:name w:val="标题 6 字符"/>
    <w:link w:val="8"/>
    <w:qFormat/>
    <w:uiPriority w:val="0"/>
    <w:rPr>
      <w:rFonts w:ascii="Arial" w:hAnsi="Arial" w:eastAsia="黑体" w:cs="Times New Roman"/>
      <w:b/>
      <w:bCs/>
      <w:sz w:val="24"/>
      <w:szCs w:val="24"/>
    </w:rPr>
  </w:style>
  <w:style w:type="character" w:customStyle="1" w:styleId="40">
    <w:name w:val="标题 7 字符"/>
    <w:link w:val="9"/>
    <w:qFormat/>
    <w:uiPriority w:val="0"/>
    <w:rPr>
      <w:rFonts w:ascii="Times New Roman" w:hAnsi="Times New Roman" w:eastAsia="宋体" w:cs="Times New Roman"/>
      <w:b/>
      <w:bCs/>
      <w:sz w:val="24"/>
      <w:szCs w:val="24"/>
    </w:rPr>
  </w:style>
  <w:style w:type="character" w:customStyle="1" w:styleId="41">
    <w:name w:val="标题 8 字符"/>
    <w:link w:val="10"/>
    <w:qFormat/>
    <w:uiPriority w:val="0"/>
    <w:rPr>
      <w:rFonts w:ascii="Arial" w:hAnsi="Arial" w:eastAsia="黑体" w:cs="Times New Roman"/>
      <w:sz w:val="24"/>
      <w:szCs w:val="24"/>
    </w:rPr>
  </w:style>
  <w:style w:type="character" w:customStyle="1" w:styleId="42">
    <w:name w:val="标题 9 字符"/>
    <w:link w:val="11"/>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2"/>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Unresolved Mention"/>
    <w:basedOn w:val="28"/>
    <w:semiHidden/>
    <w:unhideWhenUsed/>
    <w:qFormat/>
    <w:uiPriority w:val="99"/>
    <w:rPr>
      <w:color w:val="605E5C"/>
      <w:shd w:val="clear" w:color="auto" w:fill="E1DFDD"/>
    </w:rPr>
  </w:style>
  <w:style w:type="table" w:customStyle="1" w:styleId="231">
    <w:name w:val="Table Normal"/>
    <w:semiHidden/>
    <w:unhideWhenUsed/>
    <w:qFormat/>
    <w:uiPriority w:val="0"/>
    <w:tblPr>
      <w:tblCellMar>
        <w:top w:w="0" w:type="dxa"/>
        <w:left w:w="0" w:type="dxa"/>
        <w:bottom w:w="0" w:type="dxa"/>
        <w:right w:w="0" w:type="dxa"/>
      </w:tblCellMar>
    </w:tblPr>
  </w:style>
  <w:style w:type="character" w:customStyle="1" w:styleId="232">
    <w:name w:val="font41"/>
    <w:basedOn w:val="28"/>
    <w:qFormat/>
    <w:uiPriority w:val="0"/>
    <w:rPr>
      <w:rFonts w:ascii="黑体" w:hAnsi="宋体" w:eastAsia="黑体" w:cs="黑体"/>
      <w:color w:val="000000"/>
      <w:sz w:val="16"/>
      <w:szCs w:val="16"/>
      <w:u w:val="none"/>
    </w:rPr>
  </w:style>
  <w:style w:type="character" w:customStyle="1" w:styleId="233">
    <w:name w:val="font81"/>
    <w:basedOn w:val="28"/>
    <w:qFormat/>
    <w:uiPriority w:val="0"/>
    <w:rPr>
      <w:rFonts w:ascii="黑体" w:hAnsi="宋体" w:eastAsia="黑体" w:cs="黑体"/>
      <w:b/>
      <w:bCs/>
      <w:color w:val="000000"/>
      <w:sz w:val="16"/>
      <w:szCs w:val="16"/>
      <w:u w:val="none"/>
    </w:rPr>
  </w:style>
  <w:style w:type="character" w:customStyle="1" w:styleId="234">
    <w:name w:val="font91"/>
    <w:basedOn w:val="28"/>
    <w:qFormat/>
    <w:uiPriority w:val="0"/>
    <w:rPr>
      <w:rFonts w:ascii="Arial" w:hAnsi="Arial" w:cs="Arial"/>
      <w:b/>
      <w:bCs/>
      <w:color w:val="000000"/>
      <w:sz w:val="16"/>
      <w:szCs w:val="16"/>
      <w:u w:val="none"/>
    </w:rPr>
  </w:style>
  <w:style w:type="paragraph" w:customStyle="1" w:styleId="235">
    <w:name w:val="Table Paragraph"/>
    <w:basedOn w:val="1"/>
    <w:qFormat/>
    <w:uiPriority w:val="1"/>
    <w:pPr>
      <w:spacing w:before="35"/>
    </w:pPr>
    <w:rPr>
      <w:rFonts w:ascii="宋体" w:hAnsi="宋体" w:eastAsia="宋体" w:cs="宋体"/>
      <w:lang w:val="en-US" w:eastAsia="en-US" w:bidi="en-US"/>
    </w:rPr>
  </w:style>
  <w:style w:type="paragraph" w:styleId="236">
    <w:name w:val="List Paragraph"/>
    <w:basedOn w:val="1"/>
    <w:qFormat/>
    <w:uiPriority w:val="34"/>
    <w:pPr>
      <w:ind w:firstLine="420" w:firstLineChars="200"/>
    </w:pPr>
    <w:rPr>
      <w:rFonts w:ascii="宋体" w:hAnsi="宋体"/>
      <w:color w:val="000000"/>
      <w:sz w:val="24"/>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86148FD3DEA4DCAAE9298A5300EB736"/>
        <w:style w:val=""/>
        <w:category>
          <w:name w:val="常规"/>
          <w:gallery w:val="placeholder"/>
        </w:category>
        <w:types>
          <w:type w:val="bbPlcHdr"/>
        </w:types>
        <w:behaviors>
          <w:behavior w:val="content"/>
        </w:behaviors>
        <w:description w:val=""/>
        <w:guid w:val="{2963C77A-CA86-4585-85AE-869AB688DDE4}"/>
      </w:docPartPr>
      <w:docPartBody>
        <w:p w14:paraId="50147AA9">
          <w:pPr>
            <w:pStyle w:val="5"/>
          </w:pPr>
          <w:r>
            <w:rPr>
              <w:rStyle w:val="4"/>
              <w:rFonts w:hint="eastAsia"/>
            </w:rPr>
            <w:t>单击或点击此处输入文字。</w:t>
          </w:r>
        </w:p>
      </w:docPartBody>
    </w:docPart>
    <w:docPart>
      <w:docPartPr>
        <w:name w:val="CBEB9BF19F294B7DAB8AE447F8EC812C"/>
        <w:style w:val=""/>
        <w:category>
          <w:name w:val="常规"/>
          <w:gallery w:val="placeholder"/>
        </w:category>
        <w:types>
          <w:type w:val="bbPlcHdr"/>
        </w:types>
        <w:behaviors>
          <w:behavior w:val="content"/>
        </w:behaviors>
        <w:description w:val=""/>
        <w:guid w:val="{C2E1E73D-76B6-447B-8DB9-78306D7A6379}"/>
      </w:docPartPr>
      <w:docPartBody>
        <w:p w14:paraId="482558A2">
          <w:pPr>
            <w:pStyle w:val="6"/>
          </w:pPr>
          <w:r>
            <w:rPr>
              <w:rStyle w:val="4"/>
              <w:rFonts w:hint="eastAsia"/>
            </w:rPr>
            <w:t>选择一项。</w:t>
          </w:r>
        </w:p>
      </w:docPartBody>
    </w:docPart>
    <w:docPart>
      <w:docPartPr>
        <w:name w:val="F9D65E0B1CDE48F7B243291364C4898B"/>
        <w:style w:val=""/>
        <w:category>
          <w:name w:val="常规"/>
          <w:gallery w:val="placeholder"/>
        </w:category>
        <w:types>
          <w:type w:val="bbPlcHdr"/>
        </w:types>
        <w:behaviors>
          <w:behavior w:val="content"/>
        </w:behaviors>
        <w:description w:val=""/>
        <w:guid w:val="{A070CE06-9AED-4790-9332-48CB4DD0799C}"/>
      </w:docPartPr>
      <w:docPartBody>
        <w:p w14:paraId="7CE1BC3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520"/>
    <w:rsid w:val="00013989"/>
    <w:rsid w:val="000B65B6"/>
    <w:rsid w:val="0026567C"/>
    <w:rsid w:val="002D45F5"/>
    <w:rsid w:val="00332604"/>
    <w:rsid w:val="00373D2F"/>
    <w:rsid w:val="00396AC3"/>
    <w:rsid w:val="003A1154"/>
    <w:rsid w:val="003F14E4"/>
    <w:rsid w:val="004159F5"/>
    <w:rsid w:val="00435424"/>
    <w:rsid w:val="004378F8"/>
    <w:rsid w:val="00450A63"/>
    <w:rsid w:val="00490503"/>
    <w:rsid w:val="00523239"/>
    <w:rsid w:val="005F7872"/>
    <w:rsid w:val="00695C35"/>
    <w:rsid w:val="008F1E17"/>
    <w:rsid w:val="008F2313"/>
    <w:rsid w:val="009203BA"/>
    <w:rsid w:val="00AA47B3"/>
    <w:rsid w:val="00CE1121"/>
    <w:rsid w:val="00D90520"/>
    <w:rsid w:val="00E0385E"/>
    <w:rsid w:val="00FE3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86148FD3DEA4DCAAE9298A5300EB73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BEB9BF19F294B7DAB8AE447F8EC812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9D65E0B1CDE48F7B243291364C4898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FFB781-E146-4E35-A53A-E87746AD845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13</Pages>
  <Words>4157</Words>
  <Characters>4794</Characters>
  <Lines>42</Lines>
  <Paragraphs>11</Paragraphs>
  <TotalTime>143</TotalTime>
  <ScaleCrop>false</ScaleCrop>
  <LinksUpToDate>false</LinksUpToDate>
  <CharactersWithSpaces>5076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2022-06-08T11:37:00Z</dcterms:created>
  <dc:creator>User</dc:creator>
  <dc:description>&lt;config cover="true" show_menu="true" version="1.0.0" doctype="SDKXY"&gt;
&lt;/config&gt;</dc:description>
  <cp:lastModifiedBy>A0杜先生</cp:lastModifiedBy>
  <cp:lastPrinted>2020-08-30T10:00:00Z</cp:lastPrinted>
  <dcterms:modified xsi:type="dcterms:W3CDTF">2025-10-10T08:51:59Z</dcterms:modified>
  <dc:title>地方标准</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6D38D58E79FB4A6698300C4ACDD8976E_13</vt:lpwstr>
  </property>
  <property fmtid="{D5CDD505-2E9C-101B-9397-08002B2CF9AE}" pid="16" name="KSOTemplateDocerSaveRecord">
    <vt:lpwstr>eyJoZGlkIjoiYTA2NDdlMGE5ZjUwMGJmOGY5YWVkMmRlNTZiOTY2YjAiLCJ1c2VySWQiOiI1MzMzNzMxNzEifQ==</vt:lpwstr>
  </property>
</Properties>
</file>